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b/>
          <w:bCs/>
        </w:rPr>
      </w:pPr>
      <w:r>
        <w:rPr>
          <w:b/>
          <w:bCs/>
        </w:rPr>
        <w:t xml:space="preserve">Peri-operative management and anesthesia </w:t>
      </w:r>
    </w:p>
    <w:p>
      <w:pPr>
        <w:spacing w:line="360" w:lineRule="auto"/>
        <w:ind w:firstLine="210" w:firstLineChars="100"/>
        <w:jc w:val="both"/>
      </w:pPr>
      <w:r>
        <w:t>In preparation for the surgical and anesthetic procedures, all shortlisted candidates underwent comprehensive preoperative evaluations and routine preparations. A day prior to the surgical intervention, the anesthesiologist assigned to each patient conducted a preoperative consultative session. During this encounter, the anesthesiologist elucidated standardized perioperative pain assessment metrics, employing the Visual Analogue Scale for Pain (VAS score; 0 = no pain, 10 = severe pain), explained the mechanics of Patient-Controlled Analgesia devices, and addressed patient-specific queries. All patients were instructed to abstain from clear fluids for 2 hours and to fast for 6–8 hours preceding the surgical event. Metrics such as blood pressure and blood glucose levels were meticulously regulated to remain within acceptable surgical parameters.</w:t>
      </w:r>
    </w:p>
    <w:p>
      <w:pPr>
        <w:spacing w:line="360" w:lineRule="auto"/>
        <w:ind w:firstLine="210" w:firstLineChars="100"/>
        <w:jc w:val="both"/>
      </w:pPr>
    </w:p>
    <w:p>
      <w:pPr>
        <w:spacing w:line="360" w:lineRule="auto"/>
        <w:ind w:firstLine="210" w:firstLineChars="100"/>
        <w:jc w:val="both"/>
      </w:pPr>
      <w:r>
        <w:t>Anesthetic administration involved intravenous induction in combination with general anesthesia. Non-invasive measures for Electrocardiogram (ECG), Heart Rate (HR), and Oxygen Saturation (SpO2) were deployed, and Arterial Blood Pressure (ABP) was monitored via radial artery puncture and catheterization, under local infiltration anesthesia with 2% lidocaine. Induction agents comprised of Midazolam (0.1–0.15 mg/kg), Propofol (2.0–2.5 mg/kg), Sufentanil Citrate (0.3–0.6 μg/kg), and Vecuronium (0.08–0.12 mg/kg). Post-induction, airways were either intubated or managed with a laryngeal mask, which was subsequently connected to ventilatory support. Intraoperative anesthetic maintenance was achieved through continuous inhalation of Sevoflurane (1–3%) or Desflurane (3–6%), coupled with intravenous infusions of Remifentanil (7–8 μg/kg/h) and Propofol (25–75 μg/kg/min). Vecuronium was intermittently administered to sustain anesthesia. Anesthesia depth was quantitatively gauged using a Narcotrend monitor, aiming to sustain an index between 45 and 55. Hemodynamic parameters were modulated using vasoactive agents like Ephedrine and Norepinephrine. No muscle relaxants were introduced within 30 minutes of concluding the operation; subsequently, Propofol, Remifentanil, and Sevoflurane were discontinued. Patients were then transferred to the Post-Anesthesia Care Unit. At 30 minutes post-extubation, if the patient reported wound pain with a VAS score of 4 or higher, intravenous remedial analgesia—either Parecoxib Sodium 40 mg or Flurbiprofen Ester 50 mg—was administered. If the attending anesthesiologist ascertained a Steward score exceeding 4, the patient was deemed fit for transfer to the surgical ward.</w:t>
      </w:r>
    </w:p>
    <w:p>
      <w:pPr>
        <w:spacing w:line="360" w:lineRule="auto"/>
        <w:jc w:val="both"/>
        <w:rPr>
          <w:b/>
          <w:bCs/>
        </w:rPr>
      </w:pPr>
    </w:p>
    <w:p>
      <w:pPr>
        <w:spacing w:line="360" w:lineRule="auto"/>
        <w:jc w:val="both"/>
        <w:rPr>
          <w:b/>
          <w:bCs/>
        </w:rPr>
      </w:pPr>
      <w:r>
        <w:rPr>
          <w:rFonts w:hint="eastAsia"/>
          <w:b/>
          <w:bCs/>
        </w:rPr>
        <w:t>Surgery</w:t>
      </w:r>
    </w:p>
    <w:p>
      <w:pPr>
        <w:spacing w:line="360" w:lineRule="auto"/>
        <w:ind w:firstLine="420"/>
        <w:jc w:val="both"/>
      </w:pPr>
      <w:r>
        <w:t>Patients allocated to either study group underwent a variety of laparoscopic procedures, which encompassed laparoscopic total extraperitoneal (TEP) and transabdominal preperitoneal hernioplasty (TAPP), among other laparoscopic modalities. In the case of those subjected to TEP hernioplasty, a prosthetic mesh was strategically positioned within the preperitoneal cavity via a 10-mm intraoperative trocar incision. This mesh was meticulously unrolled to eliminate wrinkles and was secured using fibrin adhesive. Hemostasis was achieved through the application of bipolar electrocautery. Subsequently, the mesh served to rectify defects in anatomical zones including the Hasselbach region, the indirect inguinal ring, the obturator ring, and the femoral triangle. For those undergoing TAPP, a camera port was initiated at the umbilicus utilizing an open technique. This was followed by the insertion of dual 5-mm trocars, positioned bilaterally along the perimeters of the rectus abdominis muscle and adjacent to the inferior epigastric vessels. After identification of pertinent anatomical landmarks—such as the gonadal vessels, the seminal duct in males, the inferior epigastric vessels, and the medial umbilical fold—the dissection area intended for mesh implantation was finalized, and the mesh was affixed in the designated cavity using fibrin adhesive.</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hYjIwYTFkMDUyN2RmOGI2OTNiMWRjYmY5MjBlYTUifQ=="/>
  </w:docVars>
  <w:rsids>
    <w:rsidRoot w:val="00000000"/>
    <w:rsid w:val="235C73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2023-10-07T09:01:28Z</dcterms:created>
  <dc:creator>plh</dc:creator>
  <cp:lastModifiedBy>plh</cp:lastModifiedBy>
  <dcterms:modified xsi:type="dcterms:W3CDTF">2023-10-07T09:01:47Z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97A858D3BF42499790B44CF702DB4614_12</vt:lpwstr>
  </property>
</Properties>
</file>