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C2890" w14:textId="69624CD5" w:rsidR="0042020D" w:rsidRDefault="00BF3ED3" w:rsidP="0042020D">
      <w:pPr>
        <w:pStyle w:val="Acknowledgement"/>
        <w:spacing w:line="360" w:lineRule="auto"/>
        <w:jc w:val="both"/>
        <w:rPr>
          <w:b/>
          <w:bCs/>
        </w:rPr>
      </w:pPr>
      <w:r w:rsidRPr="00341C40">
        <w:rPr>
          <w:b/>
          <w:bCs/>
        </w:rPr>
        <w:t>Supplementary Material</w:t>
      </w:r>
    </w:p>
    <w:p w14:paraId="513E5B3F" w14:textId="73F28C8E" w:rsidR="00455708" w:rsidRDefault="00945F2F" w:rsidP="0042020D">
      <w:pPr>
        <w:pStyle w:val="Acknowledgement"/>
        <w:spacing w:line="360" w:lineRule="auto"/>
        <w:jc w:val="both"/>
        <w:rPr>
          <w:b/>
          <w:bCs/>
        </w:rPr>
      </w:pPr>
      <w:r>
        <w:rPr>
          <w:b/>
          <w:bCs/>
          <w:noProof/>
          <w14:ligatures w14:val="standardContextual"/>
        </w:rPr>
        <w:drawing>
          <wp:inline distT="0" distB="0" distL="0" distR="0" wp14:anchorId="5A4D0D03" wp14:editId="281FB1A9">
            <wp:extent cx="3090208" cy="6531996"/>
            <wp:effectExtent l="0" t="0" r="0" b="2540"/>
            <wp:docPr id="93063009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630093" name="図 930630093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992" b="1945"/>
                    <a:stretch/>
                  </pic:blipFill>
                  <pic:spPr bwMode="auto">
                    <a:xfrm>
                      <a:off x="0" y="0"/>
                      <a:ext cx="3114482" cy="65833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CF2DA" w14:textId="572A84AE" w:rsidR="0042020D" w:rsidRPr="00341C40" w:rsidRDefault="00BF3ED3" w:rsidP="007C5958">
      <w:pPr>
        <w:pStyle w:val="SMHeading"/>
        <w:spacing w:line="360" w:lineRule="auto"/>
        <w:jc w:val="both"/>
      </w:pPr>
      <w:r w:rsidRPr="00341C40">
        <w:t>Fig. S1</w:t>
      </w:r>
    </w:p>
    <w:p w14:paraId="32FD8D88" w14:textId="62E4BDED" w:rsidR="0042020D" w:rsidRPr="00341C40" w:rsidRDefault="00BF3ED3" w:rsidP="007C5958">
      <w:pPr>
        <w:pStyle w:val="SMcaption"/>
        <w:spacing w:line="360" w:lineRule="auto"/>
        <w:jc w:val="both"/>
        <w:rPr>
          <w:szCs w:val="24"/>
        </w:rPr>
      </w:pPr>
      <w:r w:rsidRPr="00341C40">
        <w:rPr>
          <w:szCs w:val="24"/>
        </w:rPr>
        <w:t>(</w:t>
      </w:r>
      <w:r w:rsidR="00B03BED">
        <w:rPr>
          <w:szCs w:val="24"/>
        </w:rPr>
        <w:t>a</w:t>
      </w:r>
      <w:r w:rsidRPr="00341C40">
        <w:rPr>
          <w:szCs w:val="24"/>
        </w:rPr>
        <w:t>) sMICA and sMICB concentrations were measured in the SW480, P</w:t>
      </w:r>
      <w:r w:rsidR="002E05B1">
        <w:rPr>
          <w:szCs w:val="24"/>
        </w:rPr>
        <w:t>ANC</w:t>
      </w:r>
      <w:r w:rsidRPr="00341C40">
        <w:rPr>
          <w:szCs w:val="24"/>
        </w:rPr>
        <w:t>-1, MIAPaCa-2, and PC-9</w:t>
      </w:r>
    </w:p>
    <w:p w14:paraId="36215D8A" w14:textId="30F6E275" w:rsidR="00455708" w:rsidRPr="00341C40" w:rsidRDefault="00BF3ED3" w:rsidP="007C5958">
      <w:pPr>
        <w:pStyle w:val="SMcaption"/>
        <w:spacing w:line="360" w:lineRule="auto"/>
        <w:jc w:val="both"/>
        <w:rPr>
          <w:szCs w:val="24"/>
        </w:rPr>
      </w:pPr>
      <w:r w:rsidRPr="00341C40">
        <w:rPr>
          <w:szCs w:val="24"/>
        </w:rPr>
        <w:lastRenderedPageBreak/>
        <w:t>(</w:t>
      </w:r>
      <w:r w:rsidR="00B03BED">
        <w:rPr>
          <w:szCs w:val="24"/>
        </w:rPr>
        <w:t>b</w:t>
      </w:r>
      <w:r w:rsidRPr="00341C40">
        <w:rPr>
          <w:szCs w:val="24"/>
        </w:rPr>
        <w:t>) MFI of MICB and PD-L1 in P</w:t>
      </w:r>
      <w:r w:rsidR="002E05B1">
        <w:rPr>
          <w:szCs w:val="24"/>
        </w:rPr>
        <w:t>ANC</w:t>
      </w:r>
      <w:r w:rsidRPr="00341C40">
        <w:rPr>
          <w:szCs w:val="24"/>
        </w:rPr>
        <w:t>-1 cells transfected with siCntl and siMICB was analyzed using FCM</w:t>
      </w:r>
    </w:p>
    <w:p w14:paraId="5079792E" w14:textId="3C43D9FB" w:rsidR="0042020D" w:rsidRDefault="00BF3ED3" w:rsidP="00455708">
      <w:pPr>
        <w:pStyle w:val="SMcaption"/>
        <w:spacing w:line="360" w:lineRule="auto"/>
        <w:jc w:val="both"/>
      </w:pPr>
      <w:r w:rsidRPr="00341C40">
        <w:t xml:space="preserve">Statistical analyses were performed using Student’s </w:t>
      </w:r>
      <w:r w:rsidRPr="00341C40">
        <w:rPr>
          <w:i/>
          <w:iCs/>
        </w:rPr>
        <w:t>t</w:t>
      </w:r>
      <w:r w:rsidRPr="00341C40">
        <w:t xml:space="preserve">-test. </w:t>
      </w:r>
    </w:p>
    <w:p w14:paraId="7D8291E8" w14:textId="20D504CA" w:rsidR="00455708" w:rsidRPr="002D4F62" w:rsidRDefault="00455708" w:rsidP="00455708">
      <w:pPr>
        <w:pStyle w:val="SMcaption"/>
        <w:spacing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(c) </w:t>
      </w:r>
      <w:r w:rsidRPr="002D4F62">
        <w:rPr>
          <w:rFonts w:asciiTheme="majorBidi" w:hAnsiTheme="majorBidi" w:cstheme="majorBidi"/>
        </w:rPr>
        <w:t xml:space="preserve">Gating strategy for </w:t>
      </w:r>
      <w:r>
        <w:rPr>
          <w:rFonts w:asciiTheme="majorBidi" w:hAnsiTheme="majorBidi" w:cstheme="majorBidi"/>
        </w:rPr>
        <w:t>MICA and MICB expression of P</w:t>
      </w:r>
      <w:r w:rsidR="002E05B1">
        <w:rPr>
          <w:rFonts w:asciiTheme="majorBidi" w:hAnsiTheme="majorBidi" w:cstheme="majorBidi"/>
        </w:rPr>
        <w:t>ANC</w:t>
      </w:r>
      <w:r>
        <w:rPr>
          <w:rFonts w:asciiTheme="majorBidi" w:hAnsiTheme="majorBidi" w:cstheme="majorBidi"/>
        </w:rPr>
        <w:t xml:space="preserve">-1 </w:t>
      </w:r>
      <w:r w:rsidRPr="002D4F62">
        <w:rPr>
          <w:rFonts w:asciiTheme="majorBidi" w:hAnsiTheme="majorBidi" w:cstheme="majorBidi"/>
        </w:rPr>
        <w:t xml:space="preserve">in </w:t>
      </w:r>
      <w:r>
        <w:rPr>
          <w:rFonts w:asciiTheme="majorBidi" w:hAnsiTheme="majorBidi" w:cstheme="majorBidi"/>
        </w:rPr>
        <w:t>B,</w:t>
      </w:r>
      <w:r w:rsidRPr="002D4F62">
        <w:rPr>
          <w:rFonts w:asciiTheme="majorBidi" w:hAnsiTheme="majorBidi" w:cstheme="majorBidi" w:hint="eastAsia"/>
        </w:rPr>
        <w:t xml:space="preserve"> </w:t>
      </w:r>
      <w:r w:rsidRPr="002D4F62">
        <w:rPr>
          <w:rFonts w:asciiTheme="majorBidi" w:hAnsiTheme="majorBidi" w:cstheme="majorBidi"/>
        </w:rPr>
        <w:t xml:space="preserve">Figs. </w:t>
      </w:r>
      <w:r>
        <w:rPr>
          <w:rFonts w:asciiTheme="majorBidi" w:hAnsiTheme="majorBidi" w:cstheme="majorBidi"/>
        </w:rPr>
        <w:t xml:space="preserve">1B, </w:t>
      </w:r>
      <w:r w:rsidRPr="002D4F62">
        <w:rPr>
          <w:rFonts w:asciiTheme="majorBidi" w:hAnsiTheme="majorBidi" w:cstheme="majorBidi"/>
        </w:rPr>
        <w:t>2</w:t>
      </w:r>
      <w:r>
        <w:rPr>
          <w:rFonts w:asciiTheme="majorBidi" w:hAnsiTheme="majorBidi" w:cstheme="majorBidi"/>
        </w:rPr>
        <w:t>B and Figs. S3b</w:t>
      </w:r>
    </w:p>
    <w:p w14:paraId="7BE0B935" w14:textId="02B45319" w:rsidR="00455708" w:rsidRPr="00341C40" w:rsidRDefault="00455708" w:rsidP="006B1C25">
      <w:pPr>
        <w:pStyle w:val="SMcaption"/>
        <w:spacing w:line="360" w:lineRule="auto"/>
        <w:jc w:val="both"/>
      </w:pPr>
    </w:p>
    <w:p w14:paraId="5F2AC515" w14:textId="72DAC038" w:rsidR="0042020D" w:rsidRPr="00341C40" w:rsidRDefault="00455708" w:rsidP="007C5958">
      <w:pPr>
        <w:pStyle w:val="SMHeading"/>
        <w:spacing w:line="360" w:lineRule="auto"/>
        <w:jc w:val="both"/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60288" behindDoc="0" locked="0" layoutInCell="1" allowOverlap="1" wp14:anchorId="25CA0EE2" wp14:editId="38C4145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316855" cy="7219315"/>
            <wp:effectExtent l="0" t="0" r="0" b="635"/>
            <wp:wrapTopAndBottom/>
            <wp:docPr id="37643233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432332" name="図 37643233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-429" b="5603"/>
                    <a:stretch/>
                  </pic:blipFill>
                  <pic:spPr bwMode="auto">
                    <a:xfrm>
                      <a:off x="0" y="0"/>
                      <a:ext cx="5316855" cy="7219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3ED3" w:rsidRPr="00341C40">
        <w:t>Fig. S2</w:t>
      </w:r>
    </w:p>
    <w:p w14:paraId="06D79BA3" w14:textId="15E57EC3" w:rsidR="0042020D" w:rsidRPr="00341C40" w:rsidRDefault="00BF3ED3" w:rsidP="007C5958">
      <w:pPr>
        <w:pStyle w:val="SMcaption"/>
        <w:spacing w:line="360" w:lineRule="auto"/>
        <w:jc w:val="both"/>
        <w:rPr>
          <w:szCs w:val="24"/>
        </w:rPr>
      </w:pPr>
      <w:r w:rsidRPr="00341C40">
        <w:rPr>
          <w:szCs w:val="24"/>
        </w:rPr>
        <w:t>(</w:t>
      </w:r>
      <w:r w:rsidR="00B03BED">
        <w:rPr>
          <w:szCs w:val="24"/>
        </w:rPr>
        <w:t>a</w:t>
      </w:r>
      <w:r w:rsidRPr="00341C40">
        <w:rPr>
          <w:szCs w:val="24"/>
        </w:rPr>
        <w:t xml:space="preserve">) </w:t>
      </w:r>
      <w:r w:rsidRPr="007C5958">
        <w:rPr>
          <w:i/>
          <w:iCs/>
          <w:szCs w:val="24"/>
        </w:rPr>
        <w:t>IFN-γ</w:t>
      </w:r>
      <w:r w:rsidRPr="00341C40">
        <w:rPr>
          <w:szCs w:val="24"/>
        </w:rPr>
        <w:t xml:space="preserve"> expression in NKG2D</w:t>
      </w:r>
      <w:r w:rsidRPr="00341C40">
        <w:rPr>
          <w:szCs w:val="24"/>
          <w:vertAlign w:val="superscript"/>
        </w:rPr>
        <w:t>High</w:t>
      </w:r>
      <w:r w:rsidRPr="00341C40">
        <w:rPr>
          <w:szCs w:val="24"/>
        </w:rPr>
        <w:t xml:space="preserve"> T cells and NKG2D</w:t>
      </w:r>
      <w:r w:rsidRPr="00341C40">
        <w:rPr>
          <w:szCs w:val="24"/>
          <w:vertAlign w:val="superscript"/>
        </w:rPr>
        <w:t>Low</w:t>
      </w:r>
      <w:r w:rsidRPr="00341C40">
        <w:rPr>
          <w:szCs w:val="24"/>
        </w:rPr>
        <w:t xml:space="preserve"> T cells immediately after sorting with </w:t>
      </w:r>
      <w:r w:rsidR="004A1077">
        <w:rPr>
          <w:szCs w:val="24"/>
        </w:rPr>
        <w:t xml:space="preserve"> </w:t>
      </w:r>
      <w:r w:rsidR="002E05B1">
        <w:rPr>
          <w:szCs w:val="24"/>
        </w:rPr>
        <w:t xml:space="preserve">a </w:t>
      </w:r>
      <w:r w:rsidRPr="00341C40">
        <w:rPr>
          <w:szCs w:val="24"/>
        </w:rPr>
        <w:t>cell sorter was measured using qPCR.</w:t>
      </w:r>
    </w:p>
    <w:p w14:paraId="187A6A00" w14:textId="4940F709" w:rsidR="0042020D" w:rsidRPr="00341C40" w:rsidRDefault="00BF3ED3" w:rsidP="002E05B1">
      <w:pPr>
        <w:pStyle w:val="Acknowledgement"/>
        <w:spacing w:line="360" w:lineRule="auto"/>
        <w:ind w:left="0" w:firstLine="0"/>
        <w:jc w:val="both"/>
      </w:pPr>
      <w:r w:rsidRPr="00341C40">
        <w:lastRenderedPageBreak/>
        <w:t>(</w:t>
      </w:r>
      <w:r w:rsidR="00B03BED">
        <w:t>b</w:t>
      </w:r>
      <w:r w:rsidRPr="00341C40">
        <w:t xml:space="preserve">) </w:t>
      </w:r>
      <w:r w:rsidRPr="007C5958">
        <w:rPr>
          <w:i/>
          <w:iCs/>
        </w:rPr>
        <w:t>IFN-γ</w:t>
      </w:r>
      <w:r w:rsidRPr="00341C40">
        <w:t xml:space="preserve"> expression in NKG2D</w:t>
      </w:r>
      <w:r w:rsidRPr="00341C40">
        <w:rPr>
          <w:vertAlign w:val="superscript"/>
        </w:rPr>
        <w:t>High</w:t>
      </w:r>
      <w:r w:rsidRPr="00341C40">
        <w:t xml:space="preserve"> T cells and NKG2D</w:t>
      </w:r>
      <w:r w:rsidRPr="00341C40">
        <w:rPr>
          <w:vertAlign w:val="superscript"/>
        </w:rPr>
        <w:t>Low</w:t>
      </w:r>
      <w:r w:rsidRPr="00341C40">
        <w:t xml:space="preserve"> T cells 72 h after sorting was measured using qPCR. Statistical analyses were performed using Student’s </w:t>
      </w:r>
      <w:r w:rsidRPr="00341C40">
        <w:rPr>
          <w:i/>
          <w:iCs/>
        </w:rPr>
        <w:t>t</w:t>
      </w:r>
      <w:r w:rsidRPr="00341C40">
        <w:t xml:space="preserve">-test. </w:t>
      </w:r>
    </w:p>
    <w:p w14:paraId="2B4134CE" w14:textId="7E8FA996" w:rsidR="0042020D" w:rsidRPr="00341C40" w:rsidRDefault="00BF3ED3" w:rsidP="007C5958">
      <w:pPr>
        <w:pStyle w:val="SMcaption"/>
        <w:spacing w:line="360" w:lineRule="auto"/>
        <w:jc w:val="both"/>
        <w:rPr>
          <w:szCs w:val="24"/>
        </w:rPr>
      </w:pPr>
      <w:r w:rsidRPr="00341C40">
        <w:rPr>
          <w:szCs w:val="24"/>
        </w:rPr>
        <w:t>(</w:t>
      </w:r>
      <w:r w:rsidR="00B03BED">
        <w:rPr>
          <w:szCs w:val="24"/>
        </w:rPr>
        <w:t>c</w:t>
      </w:r>
      <w:r w:rsidRPr="00341C40">
        <w:rPr>
          <w:szCs w:val="24"/>
        </w:rPr>
        <w:t xml:space="preserve">) </w:t>
      </w:r>
      <w:r w:rsidRPr="007C5958">
        <w:rPr>
          <w:i/>
          <w:iCs/>
          <w:szCs w:val="24"/>
        </w:rPr>
        <w:t>NKG2D</w:t>
      </w:r>
      <w:r w:rsidRPr="00341C40">
        <w:rPr>
          <w:szCs w:val="24"/>
        </w:rPr>
        <w:t xml:space="preserve"> expression in NKG2D</w:t>
      </w:r>
      <w:r w:rsidRPr="00341C40">
        <w:rPr>
          <w:szCs w:val="24"/>
          <w:vertAlign w:val="superscript"/>
        </w:rPr>
        <w:t>High</w:t>
      </w:r>
      <w:r w:rsidRPr="00341C40">
        <w:rPr>
          <w:szCs w:val="24"/>
        </w:rPr>
        <w:t xml:space="preserve"> T cells or NKG2D</w:t>
      </w:r>
      <w:r w:rsidRPr="00341C40">
        <w:rPr>
          <w:szCs w:val="24"/>
          <w:vertAlign w:val="superscript"/>
        </w:rPr>
        <w:t>Low</w:t>
      </w:r>
      <w:r w:rsidRPr="00341C40">
        <w:rPr>
          <w:szCs w:val="24"/>
        </w:rPr>
        <w:t xml:space="preserve"> T cells after co-culturing P</w:t>
      </w:r>
      <w:r w:rsidR="002E05B1">
        <w:rPr>
          <w:szCs w:val="24"/>
        </w:rPr>
        <w:t>ANC</w:t>
      </w:r>
      <w:r w:rsidRPr="00341C40">
        <w:rPr>
          <w:szCs w:val="24"/>
        </w:rPr>
        <w:t>-1 cells transfected with siCntl or siMICB, analyzed using qPCR.</w:t>
      </w:r>
    </w:p>
    <w:p w14:paraId="7F937C27" w14:textId="17501696" w:rsidR="0042020D" w:rsidRPr="00341C40" w:rsidRDefault="00BF3ED3" w:rsidP="007C5958">
      <w:pPr>
        <w:pStyle w:val="SMcaption"/>
        <w:spacing w:line="360" w:lineRule="auto"/>
        <w:jc w:val="both"/>
        <w:rPr>
          <w:szCs w:val="24"/>
        </w:rPr>
      </w:pPr>
      <w:r w:rsidRPr="00341C40">
        <w:rPr>
          <w:szCs w:val="24"/>
        </w:rPr>
        <w:t>(</w:t>
      </w:r>
      <w:r w:rsidR="00B03BED">
        <w:rPr>
          <w:szCs w:val="24"/>
        </w:rPr>
        <w:t>d</w:t>
      </w:r>
      <w:r w:rsidRPr="00341C40">
        <w:rPr>
          <w:szCs w:val="24"/>
        </w:rPr>
        <w:t>) PD-1 and TIM-3</w:t>
      </w:r>
      <w:r w:rsidRPr="00341C40">
        <w:rPr>
          <w:rFonts w:eastAsia="ＭＳ 明朝"/>
          <w:szCs w:val="24"/>
          <w:lang w:eastAsia="ja-JP"/>
        </w:rPr>
        <w:t xml:space="preserve"> expression in NKG2D</w:t>
      </w:r>
      <w:r w:rsidRPr="00341C40">
        <w:rPr>
          <w:rFonts w:eastAsia="ＭＳ 明朝"/>
          <w:szCs w:val="24"/>
          <w:vertAlign w:val="superscript"/>
          <w:lang w:eastAsia="ja-JP"/>
        </w:rPr>
        <w:t>High</w:t>
      </w:r>
      <w:r w:rsidRPr="00341C40">
        <w:rPr>
          <w:rFonts w:eastAsia="ＭＳ 明朝"/>
          <w:szCs w:val="24"/>
          <w:lang w:eastAsia="ja-JP"/>
        </w:rPr>
        <w:t xml:space="preserve"> and NKG2D</w:t>
      </w:r>
      <w:r w:rsidRPr="00341C40">
        <w:rPr>
          <w:rFonts w:eastAsia="ＭＳ 明朝"/>
          <w:szCs w:val="24"/>
          <w:vertAlign w:val="superscript"/>
          <w:lang w:eastAsia="ja-JP"/>
        </w:rPr>
        <w:t>Low</w:t>
      </w:r>
      <w:r w:rsidRPr="00341C40">
        <w:rPr>
          <w:rFonts w:eastAsia="ＭＳ 明朝"/>
          <w:szCs w:val="24"/>
          <w:lang w:eastAsia="ja-JP"/>
        </w:rPr>
        <w:t xml:space="preserve"> T cells co-cultured with P</w:t>
      </w:r>
      <w:r w:rsidR="002E05B1">
        <w:rPr>
          <w:rFonts w:eastAsia="ＭＳ 明朝"/>
          <w:szCs w:val="24"/>
          <w:lang w:eastAsia="ja-JP"/>
        </w:rPr>
        <w:t>ANC</w:t>
      </w:r>
      <w:r w:rsidRPr="00341C40">
        <w:rPr>
          <w:rFonts w:eastAsia="ＭＳ 明朝"/>
          <w:szCs w:val="24"/>
          <w:lang w:eastAsia="ja-JP"/>
        </w:rPr>
        <w:t>-1 transfected with siMICB, analyzed using FCM.</w:t>
      </w:r>
    </w:p>
    <w:p w14:paraId="580EE2A5" w14:textId="64F60E62" w:rsidR="0042020D" w:rsidRDefault="00BF3ED3" w:rsidP="007C5958">
      <w:pPr>
        <w:pStyle w:val="Acknowledgement"/>
        <w:spacing w:line="360" w:lineRule="auto"/>
        <w:jc w:val="both"/>
      </w:pPr>
      <w:r w:rsidRPr="00341C40">
        <w:t xml:space="preserve">Statistical analyses were performed using Student’s </w:t>
      </w:r>
      <w:r w:rsidRPr="00341C40">
        <w:rPr>
          <w:i/>
          <w:iCs/>
        </w:rPr>
        <w:t>t</w:t>
      </w:r>
      <w:r w:rsidRPr="00341C40">
        <w:t>-test.; n.s., not significant</w:t>
      </w:r>
    </w:p>
    <w:p w14:paraId="4FAA46D2" w14:textId="55714942" w:rsidR="00455708" w:rsidRDefault="00455708" w:rsidP="00455708">
      <w:pPr>
        <w:pStyle w:val="SMcaption"/>
        <w:spacing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(e) </w:t>
      </w:r>
      <w:r w:rsidRPr="002D4F62">
        <w:rPr>
          <w:rFonts w:asciiTheme="majorBidi" w:hAnsiTheme="majorBidi" w:cstheme="majorBidi"/>
        </w:rPr>
        <w:t xml:space="preserve">Gating strategy for </w:t>
      </w:r>
      <w:r>
        <w:rPr>
          <w:rFonts w:asciiTheme="majorBidi" w:hAnsiTheme="majorBidi" w:cstheme="majorBidi"/>
        </w:rPr>
        <w:t xml:space="preserve">NKG2D expression of T cell </w:t>
      </w:r>
      <w:r w:rsidRPr="002D4F62">
        <w:rPr>
          <w:rFonts w:asciiTheme="majorBidi" w:hAnsiTheme="majorBidi" w:cstheme="majorBidi"/>
        </w:rPr>
        <w:t>in</w:t>
      </w:r>
      <w:r w:rsidRPr="002D4F62">
        <w:rPr>
          <w:rFonts w:asciiTheme="majorBidi" w:hAnsiTheme="majorBidi" w:cstheme="majorBidi" w:hint="eastAsia"/>
        </w:rPr>
        <w:t xml:space="preserve"> </w:t>
      </w:r>
      <w:r w:rsidRPr="002D4F62">
        <w:rPr>
          <w:rFonts w:asciiTheme="majorBidi" w:hAnsiTheme="majorBidi" w:cstheme="majorBidi"/>
        </w:rPr>
        <w:t>Figs.</w:t>
      </w:r>
      <w:r>
        <w:rPr>
          <w:rFonts w:asciiTheme="majorBidi" w:hAnsiTheme="majorBidi" w:cstheme="majorBidi"/>
        </w:rPr>
        <w:t xml:space="preserve"> </w:t>
      </w:r>
      <w:r w:rsidRPr="002D4F62">
        <w:rPr>
          <w:rFonts w:asciiTheme="majorBidi" w:hAnsiTheme="majorBidi" w:cstheme="majorBidi"/>
        </w:rPr>
        <w:t>2</w:t>
      </w:r>
      <w:r>
        <w:rPr>
          <w:rFonts w:asciiTheme="majorBidi" w:hAnsiTheme="majorBidi" w:cstheme="majorBidi"/>
        </w:rPr>
        <w:t>A</w:t>
      </w:r>
    </w:p>
    <w:p w14:paraId="677274D7" w14:textId="77777777" w:rsidR="00455708" w:rsidRPr="002D4F62" w:rsidRDefault="00455708" w:rsidP="00455708">
      <w:pPr>
        <w:pStyle w:val="SMcaption"/>
        <w:spacing w:line="480" w:lineRule="auto"/>
        <w:rPr>
          <w:rFonts w:asciiTheme="majorBidi" w:hAnsiTheme="majorBidi" w:cstheme="majorBidi"/>
          <w:b/>
          <w:bCs/>
        </w:rPr>
      </w:pPr>
    </w:p>
    <w:p w14:paraId="1EBF6212" w14:textId="4AB6C772" w:rsidR="00455708" w:rsidRPr="00341C40" w:rsidRDefault="00455708" w:rsidP="007C5958">
      <w:pPr>
        <w:pStyle w:val="Acknowledgement"/>
        <w:spacing w:line="360" w:lineRule="auto"/>
        <w:jc w:val="both"/>
      </w:pPr>
    </w:p>
    <w:p w14:paraId="4E19C528" w14:textId="77777777" w:rsidR="0042020D" w:rsidRPr="00341C40" w:rsidRDefault="0042020D" w:rsidP="007C5958">
      <w:pPr>
        <w:pStyle w:val="SMcaption"/>
        <w:spacing w:line="360" w:lineRule="auto"/>
        <w:jc w:val="both"/>
        <w:rPr>
          <w:szCs w:val="24"/>
        </w:rPr>
      </w:pPr>
    </w:p>
    <w:p w14:paraId="4DAD7AFA" w14:textId="44BE776C" w:rsidR="0042020D" w:rsidRPr="00341C40" w:rsidRDefault="00945F2F" w:rsidP="007C5958">
      <w:pPr>
        <w:pStyle w:val="SMcaption"/>
        <w:spacing w:line="360" w:lineRule="auto"/>
        <w:jc w:val="both"/>
        <w:rPr>
          <w:szCs w:val="24"/>
        </w:rPr>
      </w:pPr>
      <w:r>
        <w:rPr>
          <w:noProof/>
          <w:szCs w:val="24"/>
          <w14:ligatures w14:val="standardContextual"/>
        </w:rPr>
        <w:lastRenderedPageBreak/>
        <w:drawing>
          <wp:inline distT="0" distB="0" distL="0" distR="0" wp14:anchorId="59F845A5" wp14:editId="03FF3C9D">
            <wp:extent cx="4879793" cy="7048831"/>
            <wp:effectExtent l="0" t="0" r="0" b="0"/>
            <wp:docPr id="37126175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261752" name="図 37126175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6803" cy="7058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3B4CC" w14:textId="48384592" w:rsidR="0042020D" w:rsidRPr="00341C40" w:rsidRDefault="00BF3ED3" w:rsidP="007C5958">
      <w:pPr>
        <w:pStyle w:val="SMHeading"/>
        <w:spacing w:line="360" w:lineRule="auto"/>
        <w:jc w:val="both"/>
      </w:pPr>
      <w:r w:rsidRPr="00341C40">
        <w:t>Fig. S3</w:t>
      </w:r>
    </w:p>
    <w:p w14:paraId="0D4B9FC6" w14:textId="3C22D158" w:rsidR="0042020D" w:rsidRPr="00F51A2A" w:rsidRDefault="00BF3ED3" w:rsidP="007C5958">
      <w:pPr>
        <w:pStyle w:val="SMcaption"/>
        <w:spacing w:line="360" w:lineRule="auto"/>
        <w:jc w:val="both"/>
        <w:rPr>
          <w:szCs w:val="24"/>
        </w:rPr>
      </w:pPr>
      <w:r w:rsidRPr="007C5958">
        <w:t>(</w:t>
      </w:r>
      <w:r w:rsidR="007C5958">
        <w:t>a</w:t>
      </w:r>
      <w:r w:rsidRPr="007C5958">
        <w:t xml:space="preserve">) </w:t>
      </w:r>
      <w:r w:rsidRPr="00F51A2A">
        <w:rPr>
          <w:szCs w:val="24"/>
        </w:rPr>
        <w:t>Results of FCM analysis of FVS780 staining and cell viability of P</w:t>
      </w:r>
      <w:r w:rsidR="002E05B1">
        <w:rPr>
          <w:szCs w:val="24"/>
        </w:rPr>
        <w:t>ANC</w:t>
      </w:r>
      <w:r w:rsidRPr="00F51A2A">
        <w:rPr>
          <w:szCs w:val="24"/>
        </w:rPr>
        <w:t>-1 treated with GW280264X at different concentrations</w:t>
      </w:r>
    </w:p>
    <w:p w14:paraId="293D221C" w14:textId="52C9B6C6" w:rsidR="0042020D" w:rsidRPr="00F51A2A" w:rsidRDefault="00BF3ED3" w:rsidP="007C5958">
      <w:pPr>
        <w:pStyle w:val="SMcaption"/>
        <w:spacing w:line="360" w:lineRule="auto"/>
        <w:jc w:val="both"/>
        <w:rPr>
          <w:szCs w:val="24"/>
        </w:rPr>
      </w:pPr>
      <w:r w:rsidRPr="007C5958">
        <w:lastRenderedPageBreak/>
        <w:t>(</w:t>
      </w:r>
      <w:r w:rsidR="007C5958">
        <w:t>b</w:t>
      </w:r>
      <w:r w:rsidRPr="007C5958">
        <w:t xml:space="preserve">) </w:t>
      </w:r>
      <w:r w:rsidRPr="00F51A2A">
        <w:rPr>
          <w:szCs w:val="24"/>
        </w:rPr>
        <w:t>Expression of membrane-type MICB in P</w:t>
      </w:r>
      <w:r w:rsidR="002E05B1">
        <w:rPr>
          <w:szCs w:val="24"/>
        </w:rPr>
        <w:t>ANC</w:t>
      </w:r>
      <w:r w:rsidRPr="00F51A2A">
        <w:rPr>
          <w:szCs w:val="24"/>
        </w:rPr>
        <w:t xml:space="preserve">-1 cells treated with GW280264X was analyzed using FCM </w:t>
      </w:r>
    </w:p>
    <w:p w14:paraId="295241F9" w14:textId="2413AE80" w:rsidR="0042020D" w:rsidRPr="00F51A2A" w:rsidRDefault="00BF3ED3" w:rsidP="007C5958">
      <w:pPr>
        <w:pStyle w:val="SMcaption"/>
        <w:spacing w:line="360" w:lineRule="auto"/>
        <w:jc w:val="both"/>
        <w:rPr>
          <w:szCs w:val="24"/>
        </w:rPr>
      </w:pPr>
      <w:r w:rsidRPr="007C5958">
        <w:t>(</w:t>
      </w:r>
      <w:r w:rsidR="007C5958">
        <w:t>c</w:t>
      </w:r>
      <w:r w:rsidRPr="007C5958">
        <w:t xml:space="preserve">) </w:t>
      </w:r>
      <w:r w:rsidRPr="00F51A2A">
        <w:rPr>
          <w:szCs w:val="24"/>
        </w:rPr>
        <w:t xml:space="preserve">Analysis of </w:t>
      </w:r>
      <w:r w:rsidRPr="007C5958">
        <w:rPr>
          <w:i/>
          <w:iCs/>
          <w:szCs w:val="24"/>
        </w:rPr>
        <w:t>ADAM10</w:t>
      </w:r>
      <w:r w:rsidRPr="00F51A2A">
        <w:rPr>
          <w:szCs w:val="24"/>
        </w:rPr>
        <w:t xml:space="preserve"> and </w:t>
      </w:r>
      <w:r w:rsidRPr="007C5958">
        <w:rPr>
          <w:i/>
          <w:iCs/>
          <w:szCs w:val="24"/>
        </w:rPr>
        <w:t>ADAM17</w:t>
      </w:r>
      <w:r w:rsidRPr="00F51A2A">
        <w:rPr>
          <w:szCs w:val="24"/>
        </w:rPr>
        <w:t xml:space="preserve"> expression in P</w:t>
      </w:r>
      <w:r w:rsidR="002E05B1">
        <w:rPr>
          <w:szCs w:val="24"/>
        </w:rPr>
        <w:t>ANC</w:t>
      </w:r>
      <w:r w:rsidRPr="00F51A2A">
        <w:rPr>
          <w:szCs w:val="24"/>
        </w:rPr>
        <w:t>-1, analyzed using qPCR</w:t>
      </w:r>
    </w:p>
    <w:p w14:paraId="53B9B0F7" w14:textId="66EEB036" w:rsidR="0042020D" w:rsidRPr="00F51A2A" w:rsidRDefault="00BF3ED3" w:rsidP="007C5958">
      <w:pPr>
        <w:pStyle w:val="SMcaption"/>
        <w:spacing w:line="360" w:lineRule="auto"/>
        <w:jc w:val="both"/>
        <w:rPr>
          <w:szCs w:val="24"/>
        </w:rPr>
      </w:pPr>
      <w:r w:rsidRPr="007C5958">
        <w:t>(</w:t>
      </w:r>
      <w:r w:rsidR="007C5958">
        <w:t>d</w:t>
      </w:r>
      <w:r w:rsidRPr="007C5958">
        <w:t xml:space="preserve">) </w:t>
      </w:r>
      <w:r w:rsidRPr="00F51A2A">
        <w:rPr>
          <w:szCs w:val="24"/>
        </w:rPr>
        <w:t>Results of saturation binding experiments with 6D4 added to the MICB-Fc fusion protein immobilized on an ELISA plate</w:t>
      </w:r>
    </w:p>
    <w:p w14:paraId="15C6E6D3" w14:textId="1F052224" w:rsidR="0042020D" w:rsidRPr="00F51A2A" w:rsidRDefault="00BF3ED3" w:rsidP="007C5958">
      <w:pPr>
        <w:pStyle w:val="SMcaption"/>
        <w:spacing w:line="360" w:lineRule="auto"/>
        <w:jc w:val="both"/>
        <w:rPr>
          <w:szCs w:val="24"/>
        </w:rPr>
      </w:pPr>
      <w:r w:rsidRPr="007C5958">
        <w:t>(</w:t>
      </w:r>
      <w:r w:rsidR="007C5958">
        <w:t>e</w:t>
      </w:r>
      <w:r w:rsidRPr="007C5958">
        <w:t xml:space="preserve">) </w:t>
      </w:r>
      <w:r w:rsidRPr="00F51A2A">
        <w:rPr>
          <w:szCs w:val="24"/>
        </w:rPr>
        <w:t>Results of binding inhibition experiments of 6D4 added to MICB-Fc fusion protein immobilized on an ELISA plate against NKG2D-Fc binding protein</w:t>
      </w:r>
    </w:p>
    <w:p w14:paraId="0A91E022" w14:textId="056F0790" w:rsidR="0042020D" w:rsidRPr="00F51A2A" w:rsidRDefault="00BF3ED3" w:rsidP="007C5958">
      <w:pPr>
        <w:pStyle w:val="SMcaption"/>
        <w:spacing w:line="360" w:lineRule="auto"/>
        <w:jc w:val="both"/>
        <w:rPr>
          <w:szCs w:val="24"/>
        </w:rPr>
      </w:pPr>
      <w:r w:rsidRPr="007C5958">
        <w:t>(</w:t>
      </w:r>
      <w:r w:rsidR="007C5958">
        <w:t>f</w:t>
      </w:r>
      <w:r w:rsidRPr="007C5958">
        <w:t xml:space="preserve">) </w:t>
      </w:r>
      <w:r w:rsidRPr="00F51A2A">
        <w:rPr>
          <w:szCs w:val="24"/>
        </w:rPr>
        <w:t>T cells were treated with iso type control (iso type: Mouse IgG2a, κ) or 6D4. RNA was extracted 72 h later and analyzed for</w:t>
      </w:r>
      <w:r w:rsidRPr="007C5958">
        <w:rPr>
          <w:i/>
          <w:iCs/>
          <w:szCs w:val="24"/>
        </w:rPr>
        <w:t xml:space="preserve"> IFN-γ </w:t>
      </w:r>
      <w:r w:rsidRPr="00F51A2A">
        <w:rPr>
          <w:szCs w:val="24"/>
        </w:rPr>
        <w:t>expression using qPCR</w:t>
      </w:r>
    </w:p>
    <w:p w14:paraId="195023AA" w14:textId="000DBD40" w:rsidR="0042020D" w:rsidRDefault="00BF3ED3" w:rsidP="007C5958">
      <w:pPr>
        <w:pStyle w:val="SMcaption"/>
        <w:spacing w:line="360" w:lineRule="auto"/>
        <w:jc w:val="both"/>
        <w:rPr>
          <w:szCs w:val="24"/>
        </w:rPr>
      </w:pPr>
      <w:r w:rsidRPr="007C5958">
        <w:t>(</w:t>
      </w:r>
      <w:r w:rsidR="007C5958">
        <w:t>g</w:t>
      </w:r>
      <w:r w:rsidRPr="007C5958">
        <w:t xml:space="preserve">) </w:t>
      </w:r>
      <w:r w:rsidRPr="00F51A2A">
        <w:rPr>
          <w:szCs w:val="24"/>
        </w:rPr>
        <w:t xml:space="preserve">T cells were treated with DMSO or GW280264X diluted with DMSO. RNA was extracted 72 h later </w:t>
      </w:r>
      <w:r w:rsidRPr="00341C40">
        <w:rPr>
          <w:szCs w:val="24"/>
        </w:rPr>
        <w:t xml:space="preserve">and analyzed for </w:t>
      </w:r>
      <w:r w:rsidRPr="007C5958">
        <w:rPr>
          <w:i/>
          <w:iCs/>
          <w:szCs w:val="24"/>
        </w:rPr>
        <w:t>IFN-γ</w:t>
      </w:r>
      <w:r w:rsidRPr="00341C40">
        <w:rPr>
          <w:szCs w:val="24"/>
        </w:rPr>
        <w:t xml:space="preserve"> expression using qPCR</w:t>
      </w:r>
    </w:p>
    <w:p w14:paraId="1FEFD863" w14:textId="684C84AF" w:rsidR="00455708" w:rsidRDefault="00455708" w:rsidP="006B1C25">
      <w:pPr>
        <w:pStyle w:val="SMcaption"/>
        <w:spacing w:line="480" w:lineRule="auto"/>
        <w:rPr>
          <w:rFonts w:asciiTheme="majorBidi" w:hAnsiTheme="majorBidi" w:cstheme="majorBidi"/>
        </w:rPr>
      </w:pPr>
      <w:r>
        <w:rPr>
          <w:rFonts w:hint="eastAsia"/>
          <w:szCs w:val="24"/>
        </w:rPr>
        <w:t>(</w:t>
      </w:r>
      <w:r>
        <w:rPr>
          <w:szCs w:val="24"/>
        </w:rPr>
        <w:t xml:space="preserve">h) </w:t>
      </w:r>
      <w:r w:rsidRPr="002D4F62">
        <w:rPr>
          <w:rFonts w:asciiTheme="majorBidi" w:hAnsiTheme="majorBidi" w:cstheme="majorBidi"/>
        </w:rPr>
        <w:t xml:space="preserve">Gating strategy for </w:t>
      </w:r>
      <w:r>
        <w:rPr>
          <w:rFonts w:asciiTheme="majorBidi" w:hAnsiTheme="majorBidi" w:cstheme="majorBidi"/>
        </w:rPr>
        <w:t xml:space="preserve">NKG2D expression of T cell </w:t>
      </w:r>
      <w:r w:rsidRPr="002D4F62">
        <w:rPr>
          <w:rFonts w:asciiTheme="majorBidi" w:hAnsiTheme="majorBidi" w:cstheme="majorBidi"/>
        </w:rPr>
        <w:t>in</w:t>
      </w:r>
      <w:r w:rsidRPr="002D4F62">
        <w:rPr>
          <w:rFonts w:asciiTheme="majorBidi" w:hAnsiTheme="majorBidi" w:cstheme="majorBidi" w:hint="eastAsia"/>
        </w:rPr>
        <w:t xml:space="preserve"> </w:t>
      </w:r>
      <w:r>
        <w:rPr>
          <w:rFonts w:asciiTheme="majorBidi" w:hAnsiTheme="majorBidi" w:cstheme="majorBidi"/>
        </w:rPr>
        <w:t xml:space="preserve">f, g, </w:t>
      </w:r>
      <w:r w:rsidRPr="002D4F62">
        <w:rPr>
          <w:rFonts w:asciiTheme="majorBidi" w:hAnsiTheme="majorBidi" w:cstheme="majorBidi"/>
        </w:rPr>
        <w:t>Figs.</w:t>
      </w:r>
      <w:r>
        <w:rPr>
          <w:rFonts w:asciiTheme="majorBidi" w:hAnsiTheme="majorBidi" w:cstheme="majorBidi"/>
        </w:rPr>
        <w:t xml:space="preserve"> 4A, B, C, and Figs.</w:t>
      </w:r>
      <w:r>
        <w:rPr>
          <w:rFonts w:asciiTheme="majorBidi" w:hAnsiTheme="majorBidi" w:cstheme="majorBidi"/>
          <w:lang w:eastAsia="ja-JP"/>
        </w:rPr>
        <w:t xml:space="preserve"> 5B, C, F</w:t>
      </w:r>
    </w:p>
    <w:p w14:paraId="26CE6AA3" w14:textId="4F4D057C" w:rsidR="00455708" w:rsidRPr="00341C40" w:rsidRDefault="00455708" w:rsidP="007C5958">
      <w:pPr>
        <w:pStyle w:val="SMcaption"/>
        <w:spacing w:line="360" w:lineRule="auto"/>
        <w:jc w:val="both"/>
        <w:rPr>
          <w:szCs w:val="24"/>
        </w:rPr>
      </w:pPr>
    </w:p>
    <w:p w14:paraId="6AEB7D51" w14:textId="77777777" w:rsidR="00376EB1" w:rsidRDefault="00BF3ED3" w:rsidP="0042020D">
      <w:pPr>
        <w:pStyle w:val="SMHeading"/>
        <w:spacing w:line="360" w:lineRule="auto"/>
        <w:jc w:val="both"/>
      </w:pPr>
      <w:r>
        <w:br w:type="page"/>
      </w:r>
    </w:p>
    <w:p w14:paraId="44C3D2EB" w14:textId="18651F8F" w:rsidR="00455708" w:rsidRDefault="00945F2F" w:rsidP="007C5958">
      <w:pPr>
        <w:pStyle w:val="SMHeading"/>
        <w:spacing w:line="360" w:lineRule="auto"/>
        <w:jc w:val="both"/>
        <w:rPr>
          <w:noProof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7A78647F" wp14:editId="4040610C">
            <wp:extent cx="3249646" cy="7104490"/>
            <wp:effectExtent l="0" t="0" r="8255" b="1270"/>
            <wp:docPr id="200798335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98335" name="図 200798335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928"/>
                    <a:stretch/>
                  </pic:blipFill>
                  <pic:spPr bwMode="auto">
                    <a:xfrm>
                      <a:off x="0" y="0"/>
                      <a:ext cx="3256849" cy="71202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74E3C9" w14:textId="799AA0F1" w:rsidR="0042020D" w:rsidRPr="00341C40" w:rsidRDefault="004A1077" w:rsidP="0068118F">
      <w:pPr>
        <w:pStyle w:val="SMHeading"/>
        <w:spacing w:line="360" w:lineRule="auto"/>
        <w:jc w:val="both"/>
      </w:pPr>
      <w:r w:rsidRPr="004A1077">
        <w:rPr>
          <w:noProof/>
        </w:rPr>
        <w:t xml:space="preserve"> </w:t>
      </w:r>
      <w:r w:rsidRPr="00341C40">
        <w:t xml:space="preserve"> Fig. S4</w:t>
      </w:r>
    </w:p>
    <w:p w14:paraId="4953643F" w14:textId="5E6B413F" w:rsidR="0042020D" w:rsidRPr="00F51A2A" w:rsidRDefault="00BF3ED3" w:rsidP="0068118F">
      <w:pPr>
        <w:pStyle w:val="Acknowledgement"/>
        <w:spacing w:line="360" w:lineRule="auto"/>
        <w:ind w:left="0" w:firstLine="0"/>
        <w:jc w:val="both"/>
      </w:pPr>
      <w:r w:rsidRPr="007C5958">
        <w:t>(</w:t>
      </w:r>
      <w:r w:rsidR="007C5958">
        <w:t>a</w:t>
      </w:r>
      <w:r w:rsidRPr="007C5958">
        <w:t xml:space="preserve">) </w:t>
      </w:r>
      <w:r w:rsidRPr="00F51A2A">
        <w:t>Co-cultures of P</w:t>
      </w:r>
      <w:r w:rsidR="002E05B1">
        <w:t>ANC</w:t>
      </w:r>
      <w:r w:rsidRPr="00F51A2A">
        <w:t>-1 with NKG2D</w:t>
      </w:r>
      <w:r w:rsidRPr="00F51A2A">
        <w:rPr>
          <w:vertAlign w:val="superscript"/>
        </w:rPr>
        <w:t>High</w:t>
      </w:r>
      <w:r w:rsidRPr="00F51A2A">
        <w:t xml:space="preserve"> T cells or NKG2D</w:t>
      </w:r>
      <w:r w:rsidRPr="00F51A2A">
        <w:rPr>
          <w:vertAlign w:val="superscript"/>
        </w:rPr>
        <w:t>Low</w:t>
      </w:r>
      <w:r w:rsidRPr="00F51A2A">
        <w:t xml:space="preserve"> T cells were treated with GW280264X. CD107a expression in both cell types was analyzed using FCM.</w:t>
      </w:r>
    </w:p>
    <w:p w14:paraId="1F3990A4" w14:textId="0201106C" w:rsidR="0042020D" w:rsidRPr="00341C40" w:rsidRDefault="00BF3ED3" w:rsidP="0068118F">
      <w:pPr>
        <w:pStyle w:val="Acknowledgement"/>
        <w:spacing w:line="360" w:lineRule="auto"/>
        <w:ind w:left="0" w:firstLine="0"/>
        <w:jc w:val="both"/>
      </w:pPr>
      <w:r w:rsidRPr="007C5958">
        <w:lastRenderedPageBreak/>
        <w:t>(</w:t>
      </w:r>
      <w:r w:rsidR="007C5958">
        <w:t>b</w:t>
      </w:r>
      <w:r w:rsidRPr="007C5958">
        <w:t>)</w:t>
      </w:r>
      <w:r w:rsidR="00825DE9">
        <w:t xml:space="preserve"> </w:t>
      </w:r>
      <w:r w:rsidRPr="00F51A2A">
        <w:t>Co</w:t>
      </w:r>
      <w:r w:rsidRPr="00341C40">
        <w:t>-cultures of P</w:t>
      </w:r>
      <w:r w:rsidR="002E05B1">
        <w:t>ANC</w:t>
      </w:r>
      <w:r w:rsidRPr="00341C40">
        <w:t>-1 with NKG2D</w:t>
      </w:r>
      <w:r w:rsidRPr="00341C40">
        <w:rPr>
          <w:vertAlign w:val="superscript"/>
        </w:rPr>
        <w:t>High</w:t>
      </w:r>
      <w:r w:rsidRPr="00341C40">
        <w:t xml:space="preserve"> T cells or NKG2D</w:t>
      </w:r>
      <w:r w:rsidRPr="00341C40">
        <w:rPr>
          <w:vertAlign w:val="superscript"/>
        </w:rPr>
        <w:t>Low</w:t>
      </w:r>
      <w:r w:rsidRPr="00341C40">
        <w:t xml:space="preserve"> T cells were treated with GW280264X. CD107a expression in both cell types was analyzed using FCM.</w:t>
      </w:r>
      <w:r w:rsidRPr="00341C40">
        <w:rPr>
          <w:rFonts w:eastAsia="ＭＳ 明朝"/>
          <w:lang w:eastAsia="ja-JP"/>
        </w:rPr>
        <w:t xml:space="preserve"> </w:t>
      </w:r>
    </w:p>
    <w:p w14:paraId="7E6EAF8D" w14:textId="1121B2DD" w:rsidR="0042020D" w:rsidRPr="00341C40" w:rsidRDefault="00BF3ED3" w:rsidP="0068118F">
      <w:pPr>
        <w:pStyle w:val="Acknowledgement"/>
        <w:spacing w:line="360" w:lineRule="auto"/>
        <w:jc w:val="both"/>
      </w:pPr>
      <w:r w:rsidRPr="00341C40">
        <w:t xml:space="preserve">Statistical analyses were performed using Student’s </w:t>
      </w:r>
      <w:r w:rsidRPr="00341C40">
        <w:rPr>
          <w:i/>
          <w:iCs/>
        </w:rPr>
        <w:t>t</w:t>
      </w:r>
      <w:r w:rsidRPr="00341C40">
        <w:t>-test.; n.s., not significant</w:t>
      </w:r>
    </w:p>
    <w:p w14:paraId="5AB7F4DF" w14:textId="10A1B270" w:rsidR="00455708" w:rsidRDefault="00825DE9" w:rsidP="0068118F">
      <w:pPr>
        <w:pStyle w:val="SMcaption"/>
        <w:spacing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(c) </w:t>
      </w:r>
      <w:r w:rsidR="00455708" w:rsidRPr="002D4F62">
        <w:rPr>
          <w:rFonts w:asciiTheme="majorBidi" w:hAnsiTheme="majorBidi" w:cstheme="majorBidi"/>
        </w:rPr>
        <w:t xml:space="preserve">Gating strategy for </w:t>
      </w:r>
      <w:r w:rsidR="00455708">
        <w:rPr>
          <w:rFonts w:asciiTheme="majorBidi" w:hAnsiTheme="majorBidi" w:cstheme="majorBidi"/>
        </w:rPr>
        <w:t xml:space="preserve">NKG2D expression of T cell </w:t>
      </w:r>
      <w:r w:rsidR="00455708" w:rsidRPr="002D4F62">
        <w:rPr>
          <w:rFonts w:asciiTheme="majorBidi" w:hAnsiTheme="majorBidi" w:cstheme="majorBidi"/>
        </w:rPr>
        <w:t>in</w:t>
      </w:r>
      <w:r w:rsidR="00455708" w:rsidRPr="002D4F62">
        <w:rPr>
          <w:rFonts w:asciiTheme="majorBidi" w:hAnsiTheme="majorBidi" w:cstheme="majorBidi" w:hint="eastAsia"/>
        </w:rPr>
        <w:t xml:space="preserve"> </w:t>
      </w:r>
      <w:r w:rsidR="00455708">
        <w:rPr>
          <w:rFonts w:asciiTheme="majorBidi" w:hAnsiTheme="majorBidi" w:cstheme="majorBidi"/>
        </w:rPr>
        <w:t xml:space="preserve">A, B, and </w:t>
      </w:r>
      <w:r w:rsidR="00455708" w:rsidRPr="002D4F62">
        <w:rPr>
          <w:rFonts w:asciiTheme="majorBidi" w:hAnsiTheme="majorBidi" w:cstheme="majorBidi"/>
        </w:rPr>
        <w:t>Figs.</w:t>
      </w:r>
      <w:r w:rsidR="00455708">
        <w:rPr>
          <w:rFonts w:asciiTheme="majorBidi" w:hAnsiTheme="majorBidi" w:cstheme="majorBidi"/>
        </w:rPr>
        <w:t xml:space="preserve"> 5D, E</w:t>
      </w:r>
    </w:p>
    <w:p w14:paraId="7751BB77" w14:textId="77777777" w:rsidR="0042020D" w:rsidRPr="00341C40" w:rsidRDefault="0042020D" w:rsidP="007C5958">
      <w:pPr>
        <w:pStyle w:val="Acknowledgement"/>
        <w:spacing w:line="360" w:lineRule="auto"/>
        <w:jc w:val="both"/>
      </w:pPr>
    </w:p>
    <w:p w14:paraId="1591BF31" w14:textId="77777777" w:rsidR="0042020D" w:rsidRDefault="0042020D"/>
    <w:sectPr w:rsidR="004202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C20A1"/>
    <w:multiLevelType w:val="hybridMultilevel"/>
    <w:tmpl w:val="801AC658"/>
    <w:lvl w:ilvl="0" w:tplc="851CF620">
      <w:start w:val="1"/>
      <w:numFmt w:val="upperLetter"/>
      <w:lvlText w:val="(%1)"/>
      <w:lvlJc w:val="left"/>
      <w:pPr>
        <w:ind w:left="440" w:hanging="440"/>
      </w:pPr>
      <w:rPr>
        <w:rFonts w:hint="default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97B6438"/>
    <w:multiLevelType w:val="multilevel"/>
    <w:tmpl w:val="184C9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5792AC5"/>
    <w:multiLevelType w:val="hybridMultilevel"/>
    <w:tmpl w:val="B81CAC02"/>
    <w:lvl w:ilvl="0" w:tplc="6D8E39AA">
      <w:start w:val="1"/>
      <w:numFmt w:val="lowerLetter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7D3C3A60"/>
    <w:multiLevelType w:val="hybridMultilevel"/>
    <w:tmpl w:val="DE9E0232"/>
    <w:lvl w:ilvl="0" w:tplc="851CF620">
      <w:start w:val="1"/>
      <w:numFmt w:val="upperLetter"/>
      <w:lvlText w:val="(%1)"/>
      <w:lvlJc w:val="left"/>
      <w:pPr>
        <w:ind w:left="440" w:hanging="440"/>
      </w:pPr>
      <w:rPr>
        <w:rFonts w:hint="default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6781705">
    <w:abstractNumId w:val="1"/>
  </w:num>
  <w:num w:numId="2" w16cid:durableId="11174108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06897115">
    <w:abstractNumId w:val="2"/>
  </w:num>
  <w:num w:numId="4" w16cid:durableId="48463525">
    <w:abstractNumId w:val="3"/>
  </w:num>
  <w:num w:numId="5" w16cid:durableId="1122185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20D"/>
    <w:rsid w:val="000A2073"/>
    <w:rsid w:val="002E05B1"/>
    <w:rsid w:val="00341C40"/>
    <w:rsid w:val="00376EB1"/>
    <w:rsid w:val="0042020D"/>
    <w:rsid w:val="00455708"/>
    <w:rsid w:val="004A1077"/>
    <w:rsid w:val="005D7DB6"/>
    <w:rsid w:val="0068118F"/>
    <w:rsid w:val="006B1C25"/>
    <w:rsid w:val="0070123B"/>
    <w:rsid w:val="00717AA4"/>
    <w:rsid w:val="007C5958"/>
    <w:rsid w:val="00825DE9"/>
    <w:rsid w:val="008A34FD"/>
    <w:rsid w:val="00945F2F"/>
    <w:rsid w:val="009B77E7"/>
    <w:rsid w:val="00A04012"/>
    <w:rsid w:val="00B03BED"/>
    <w:rsid w:val="00BF3ED3"/>
    <w:rsid w:val="00F5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CF0B30"/>
  <w15:chartTrackingRefBased/>
  <w15:docId w15:val="{DCBDF9E0-7D2F-4D9F-A364-95646A245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2020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knowledgement">
    <w:name w:val="Acknowledgement"/>
    <w:basedOn w:val="a"/>
    <w:rsid w:val="0042020D"/>
    <w:pPr>
      <w:spacing w:before="120" w:after="0" w:line="240" w:lineRule="auto"/>
      <w:ind w:left="720" w:hanging="720"/>
    </w:pPr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character" w:styleId="a3">
    <w:name w:val="annotation reference"/>
    <w:rsid w:val="0042020D"/>
    <w:rPr>
      <w:sz w:val="18"/>
      <w:szCs w:val="18"/>
    </w:rPr>
  </w:style>
  <w:style w:type="paragraph" w:styleId="a4">
    <w:name w:val="annotation text"/>
    <w:basedOn w:val="a"/>
    <w:link w:val="a5"/>
    <w:rsid w:val="00420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US"/>
      <w14:ligatures w14:val="none"/>
    </w:rPr>
  </w:style>
  <w:style w:type="character" w:customStyle="1" w:styleId="a5">
    <w:name w:val="コメント文字列 (文字)"/>
    <w:basedOn w:val="a0"/>
    <w:link w:val="a4"/>
    <w:rsid w:val="0042020D"/>
    <w:rPr>
      <w:rFonts w:ascii="Times New Roman" w:eastAsia="Times New Roman" w:hAnsi="Times New Roman" w:cs="Times New Roman"/>
      <w:kern w:val="0"/>
      <w:sz w:val="20"/>
      <w:szCs w:val="20"/>
      <w:lang w:eastAsia="en-US"/>
      <w14:ligatures w14:val="none"/>
    </w:rPr>
  </w:style>
  <w:style w:type="paragraph" w:customStyle="1" w:styleId="SMHeading">
    <w:name w:val="SM Heading"/>
    <w:basedOn w:val="1"/>
    <w:qFormat/>
    <w:rsid w:val="0042020D"/>
    <w:pPr>
      <w:keepLines w:val="0"/>
      <w:spacing w:after="60" w:line="240" w:lineRule="auto"/>
    </w:pPr>
    <w:rPr>
      <w:rFonts w:ascii="Times New Roman" w:eastAsiaTheme="minorEastAsia" w:hAnsi="Times New Roman" w:cs="Times New Roman"/>
      <w:b/>
      <w:bCs/>
      <w:color w:val="auto"/>
      <w:kern w:val="32"/>
      <w:sz w:val="24"/>
      <w:szCs w:val="24"/>
      <w:lang w:eastAsia="en-US"/>
      <w14:ligatures w14:val="none"/>
    </w:rPr>
  </w:style>
  <w:style w:type="paragraph" w:customStyle="1" w:styleId="SMcaption">
    <w:name w:val="SM caption"/>
    <w:basedOn w:val="a"/>
    <w:qFormat/>
    <w:rsid w:val="0042020D"/>
    <w:pPr>
      <w:spacing w:after="0" w:line="240" w:lineRule="auto"/>
    </w:pPr>
    <w:rPr>
      <w:rFonts w:ascii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10">
    <w:name w:val="見出し 1 (文字)"/>
    <w:basedOn w:val="a0"/>
    <w:link w:val="1"/>
    <w:uiPriority w:val="9"/>
    <w:rsid w:val="004202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70123B"/>
    <w:pPr>
      <w:spacing w:after="160"/>
    </w:pPr>
    <w:rPr>
      <w:rFonts w:asciiTheme="minorHAnsi" w:eastAsiaTheme="minorEastAsia" w:hAnsiTheme="minorHAnsi" w:cstheme="minorBidi"/>
      <w:b/>
      <w:bCs/>
      <w:kern w:val="2"/>
      <w:lang w:eastAsia="ja-JP"/>
      <w14:ligatures w14:val="standardContextual"/>
    </w:rPr>
  </w:style>
  <w:style w:type="character" w:customStyle="1" w:styleId="a7">
    <w:name w:val="コメント内容 (文字)"/>
    <w:basedOn w:val="a5"/>
    <w:link w:val="a6"/>
    <w:uiPriority w:val="99"/>
    <w:semiHidden/>
    <w:rsid w:val="0070123B"/>
    <w:rPr>
      <w:rFonts w:ascii="Times New Roman" w:eastAsia="Times New Roman" w:hAnsi="Times New Roman" w:cs="Times New Roman"/>
      <w:b/>
      <w:bCs/>
      <w:kern w:val="0"/>
      <w:sz w:val="20"/>
      <w:szCs w:val="20"/>
      <w:lang w:eastAsia="en-US"/>
      <w14:ligatures w14:val="none"/>
    </w:rPr>
  </w:style>
  <w:style w:type="paragraph" w:styleId="a8">
    <w:name w:val="Revision"/>
    <w:hidden/>
    <w:uiPriority w:val="99"/>
    <w:semiHidden/>
    <w:rsid w:val="000A207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83A3FBD-91A0-774D-9B8B-96F426374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383</Words>
  <Characters>2207</Characters>
  <Application>Microsoft Office Word</Application>
  <DocSecurity>4</DocSecurity>
  <Lines>36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清 吉村</cp:lastModifiedBy>
  <cp:revision>2</cp:revision>
  <dcterms:created xsi:type="dcterms:W3CDTF">2023-12-20T13:24:00Z</dcterms:created>
  <dcterms:modified xsi:type="dcterms:W3CDTF">2023-12-20T13:24:00Z</dcterms:modified>
</cp:coreProperties>
</file>