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360"/>
        <w:tblW w:w="0" w:type="auto"/>
        <w:tblLook w:val="04A0" w:firstRow="1" w:lastRow="0" w:firstColumn="1" w:lastColumn="0" w:noHBand="0" w:noVBand="1"/>
      </w:tblPr>
      <w:tblGrid>
        <w:gridCol w:w="819"/>
        <w:gridCol w:w="3754"/>
        <w:gridCol w:w="3802"/>
        <w:gridCol w:w="975"/>
      </w:tblGrid>
      <w:tr w:rsidR="00E43EF6" w:rsidTr="00E43EF6">
        <w:tc>
          <w:tcPr>
            <w:tcW w:w="819" w:type="dxa"/>
          </w:tcPr>
          <w:p w:rsidR="007B1D74" w:rsidRPr="00E43EF6" w:rsidRDefault="007B1D74" w:rsidP="00E43E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3754" w:type="dxa"/>
          </w:tcPr>
          <w:p w:rsidR="007B1D74" w:rsidRPr="00E43EF6" w:rsidRDefault="007B1D74" w:rsidP="00E43E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b/>
                <w:sz w:val="24"/>
                <w:szCs w:val="24"/>
              </w:rPr>
              <w:t>Forward primer</w:t>
            </w:r>
          </w:p>
        </w:tc>
        <w:tc>
          <w:tcPr>
            <w:tcW w:w="3802" w:type="dxa"/>
          </w:tcPr>
          <w:p w:rsidR="007B1D74" w:rsidRPr="00E43EF6" w:rsidRDefault="007B1D74" w:rsidP="00E43E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b/>
                <w:sz w:val="24"/>
                <w:szCs w:val="24"/>
              </w:rPr>
              <w:t>Reverse primer</w:t>
            </w:r>
          </w:p>
        </w:tc>
        <w:tc>
          <w:tcPr>
            <w:tcW w:w="975" w:type="dxa"/>
          </w:tcPr>
          <w:p w:rsidR="007B1D74" w:rsidRPr="00E43EF6" w:rsidRDefault="007B1D74" w:rsidP="00E43E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E43EF6" w:rsidTr="00E43EF6">
        <w:tc>
          <w:tcPr>
            <w:tcW w:w="819" w:type="dxa"/>
          </w:tcPr>
          <w:p w:rsidR="007B1D74" w:rsidRPr="00E43EF6" w:rsidRDefault="007B1D74" w:rsidP="00E43EF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i/>
                <w:sz w:val="24"/>
                <w:szCs w:val="24"/>
              </w:rPr>
              <w:t>ß-Actin</w:t>
            </w:r>
          </w:p>
        </w:tc>
        <w:tc>
          <w:tcPr>
            <w:tcW w:w="3754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ATGAAGTGTGACGTTGACATCC</w:t>
            </w:r>
          </w:p>
        </w:tc>
        <w:tc>
          <w:tcPr>
            <w:tcW w:w="3802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CCTAGAAGCATTTGCGGTGCACGATG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&lt;EndNote&gt;&lt;Cite&gt;&lt;Author&gt;Siraj&lt;/Author&gt;&lt;Year&gt;2015&lt;/Year&gt;&lt;RecNum&gt;324&lt;/RecNum&gt;&lt;DisplayText&gt;&lt;style face="superscript"&gt;1&lt;/style&gt;&lt;/DisplayText&gt;&lt;record&gt;&lt;rec-number&gt;324&lt;/rec-number&gt;&lt;foreign-keys&gt;&lt;key app="EN" db-id="tzttae5a3sztt0efernx0ssp5pavwzr9wr02" timestamp="1705989412"&gt;324&lt;/key&gt;&lt;/foreign-keys&gt;&lt;ref-type name="Journal Article"&gt;17&lt;/ref-type&gt;&lt;contributors&gt;&lt;authors&gt;&lt;author&gt;Siraj, Fayeza Md&lt;/author&gt;&lt;author&gt;SathishKumar, Natarajan&lt;/author&gt;&lt;author&gt;Kim, Yeon Ju&lt;/author&gt;&lt;author&gt;Kim, Se Young&lt;/author&gt;&lt;author&gt;Yang, Deok Chun&lt;/author&gt;&lt;/authors&gt;&lt;/contributors&gt;&lt;titles&gt;&lt;title&gt;Ginsenoside F2 possesses anti-obesity activity via binding with PPARγ and inhibiting adipocyte differentiation in the 3T3-L1 cell line&lt;/title&gt;&lt;secondary-title&gt;Journal of enzyme inhibition and medicinal chemistry&lt;/secondary-title&gt;&lt;/titles&gt;&lt;periodical&gt;&lt;full-title&gt;Journal of enzyme inhibition and medicinal chemistry&lt;/full-title&gt;&lt;/periodical&gt;&lt;pages&gt;9-14&lt;/pages&gt;&lt;volume&gt;30&lt;/volume&gt;&lt;number&gt;1&lt;/number&gt;&lt;dates&gt;&lt;year&gt;2015&lt;/year&gt;&lt;/dates&gt;&lt;isbn&gt;1475-6366&lt;/isbn&gt;&lt;urls&gt;&lt;/urls&gt;&lt;/record&gt;&lt;/Cite&gt;&lt;/EndNote&gt;</w:instrTex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01A93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01A93" w:rsidTr="00E43EF6">
        <w:tc>
          <w:tcPr>
            <w:tcW w:w="819" w:type="dxa"/>
          </w:tcPr>
          <w:p w:rsidR="007B1D74" w:rsidRPr="00E43EF6" w:rsidRDefault="007B1D74" w:rsidP="00E43EF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i/>
                <w:sz w:val="24"/>
                <w:szCs w:val="24"/>
              </w:rPr>
              <w:t>ALP</w:t>
            </w:r>
          </w:p>
        </w:tc>
        <w:tc>
          <w:tcPr>
            <w:tcW w:w="3754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CGAGCAGGAACAGAAGTTTGC</w:t>
            </w:r>
          </w:p>
        </w:tc>
        <w:tc>
          <w:tcPr>
            <w:tcW w:w="3802" w:type="dxa"/>
            <w:tcBorders>
              <w:right w:val="single" w:sz="4" w:space="0" w:color="auto"/>
            </w:tcBorders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TGGCCAAAAGGCAGTGAATAG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93" w:rsidTr="00E43EF6">
        <w:tc>
          <w:tcPr>
            <w:tcW w:w="819" w:type="dxa"/>
          </w:tcPr>
          <w:p w:rsidR="007B1D74" w:rsidRPr="00E43EF6" w:rsidRDefault="007B1D74" w:rsidP="00E43EF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i/>
                <w:sz w:val="24"/>
                <w:szCs w:val="24"/>
              </w:rPr>
              <w:t>Runx2</w:t>
            </w:r>
          </w:p>
        </w:tc>
        <w:tc>
          <w:tcPr>
            <w:tcW w:w="3754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ATGGCCGGGAATGATGAGAA</w:t>
            </w:r>
          </w:p>
        </w:tc>
        <w:tc>
          <w:tcPr>
            <w:tcW w:w="3802" w:type="dxa"/>
            <w:tcBorders>
              <w:right w:val="single" w:sz="4" w:space="0" w:color="auto"/>
            </w:tcBorders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TCTGTCTGTGCCTTCTTGGT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&lt;EndNote&gt;&lt;Cite&gt;&lt;Author&gt;Siddiqi&lt;/Author&gt;&lt;Year&gt;2014&lt;/Year&gt;&lt;RecNum&gt;325&lt;/RecNum&gt;&lt;DisplayText&gt;&lt;style face="superscript"&gt;2&lt;/style&gt;&lt;/DisplayText&gt;&lt;record&gt;&lt;rec-number&gt;325&lt;/rec-number&gt;&lt;foreign-keys&gt;&lt;key app="EN" db-id="tzttae5a3sztt0efernx0ssp5pavwzr9wr02" timestamp="1705990044"&gt;325&lt;/key&gt;&lt;/foreign-keys&gt;&lt;ref-type name="Journal Article"&gt;17&lt;/ref-type&gt;&lt;contributors&gt;&lt;authors&gt;&lt;author&gt;Siddiqi, Muhammad Hanif&lt;/author&gt;&lt;author&gt;Siddiqi, Muhammad Zubair&lt;/author&gt;&lt;author&gt;Ahn, Sungeun&lt;/author&gt;&lt;author&gt;Kim, Yeon-Ju&lt;/author&gt;&lt;author&gt;Yang, Deok Chun&lt;/author&gt;&lt;/authors&gt;&lt;/contributors&gt;&lt;titles&gt;&lt;title&gt;Ginsenoside Rh1 induces mouse osteoblast growth and differentiation through the bone morphogenetic protein 2/runt-related gene 2 signalling pathway&lt;/title&gt;&lt;secondary-title&gt;Journal of Pharmacy and Pharmacology&lt;/secondary-title&gt;&lt;/titles&gt;&lt;periodical&gt;&lt;full-title&gt;Journal of Pharmacy and Pharmacology&lt;/full-title&gt;&lt;/periodical&gt;&lt;pages&gt;1763-1773&lt;/pages&gt;&lt;volume&gt;66&lt;/volume&gt;&lt;number&gt;12&lt;/number&gt;&lt;dates&gt;&lt;year&gt;2014&lt;/year&gt;&lt;/dates&gt;&lt;isbn&gt;2042-7158&lt;/isbn&gt;&lt;urls&gt;&lt;/urls&gt;&lt;/record&gt;&lt;/Cite&gt;&lt;/EndNote&gt;</w:instrTex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01A93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01A93" w:rsidTr="00E43EF6">
        <w:tc>
          <w:tcPr>
            <w:tcW w:w="819" w:type="dxa"/>
          </w:tcPr>
          <w:p w:rsidR="007B1D74" w:rsidRPr="00E43EF6" w:rsidRDefault="007B1D74" w:rsidP="00E43EF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i/>
                <w:sz w:val="24"/>
                <w:szCs w:val="24"/>
              </w:rPr>
              <w:t>Col1-a1</w:t>
            </w:r>
          </w:p>
        </w:tc>
        <w:tc>
          <w:tcPr>
            <w:tcW w:w="3754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GATGGATTCCAGTTCGAGTATG</w:t>
            </w:r>
          </w:p>
        </w:tc>
        <w:tc>
          <w:tcPr>
            <w:tcW w:w="3802" w:type="dxa"/>
            <w:tcBorders>
              <w:right w:val="single" w:sz="4" w:space="0" w:color="auto"/>
            </w:tcBorders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GTTTGGGTTGCTTGTCTG TTTG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F6" w:rsidTr="00E43EF6">
        <w:tc>
          <w:tcPr>
            <w:tcW w:w="819" w:type="dxa"/>
          </w:tcPr>
          <w:p w:rsidR="007B1D74" w:rsidRPr="00E43EF6" w:rsidRDefault="007B1D74" w:rsidP="00E43EF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i/>
                <w:sz w:val="24"/>
                <w:szCs w:val="24"/>
              </w:rPr>
              <w:t>OPG</w:t>
            </w:r>
          </w:p>
        </w:tc>
        <w:tc>
          <w:tcPr>
            <w:tcW w:w="3754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ACAATGAACAAGTGGCTGTGCTG</w:t>
            </w:r>
          </w:p>
        </w:tc>
        <w:tc>
          <w:tcPr>
            <w:tcW w:w="3802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CGGTTTCTGGGTCATAATGCAAG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&lt;EndNote&gt;&lt;Cite&gt;&lt;Author&gt;Zhao&lt;/Author&gt;&lt;Year&gt;2016&lt;/Year&gt;&lt;RecNum&gt;326&lt;/RecNum&gt;&lt;DisplayText&gt;&lt;style face="superscript"&gt;3&lt;/style&gt;&lt;/DisplayText&gt;&lt;record&gt;&lt;rec-number&gt;326&lt;/rec-number&gt;&lt;foreign-keys&gt;&lt;key app="EN" db-id="tzttae5a3sztt0efernx0ssp5pavwzr9wr02" timestamp="1705990440"&gt;326&lt;/key&gt;&lt;/foreign-keys&gt;&lt;ref-type name="Journal Article"&gt;17&lt;/ref-type&gt;&lt;contributors&gt;&lt;authors&gt;&lt;author&gt;Zhao, Ji-Jun&lt;/author&gt;&lt;author&gt;Wu, Zhao-Feng&lt;/author&gt;&lt;author&gt;Wang, Ling&lt;/author&gt;&lt;author&gt;Feng, De-Hong&lt;/author&gt;&lt;author&gt;Cheng, Li&lt;/author&gt;&lt;/authors&gt;&lt;/contributors&gt;&lt;titles&gt;&lt;title&gt;MicroRNA-145 mediates steroid-induced necrosis of the femoral head by targeting the OPG/RANK/RANKL signaling pathway&lt;/title&gt;&lt;secondary-title&gt;PLoS One&lt;/secondary-title&gt;&lt;/titles&gt;&lt;periodical&gt;&lt;full-title&gt;PLoS One&lt;/full-title&gt;&lt;/periodical&gt;&lt;pages&gt;e0159805&lt;/pages&gt;&lt;volume&gt;11&lt;/volume&gt;&lt;number&gt;7&lt;/number&gt;&lt;dates&gt;&lt;year&gt;2016&lt;/year&gt;&lt;/dates&gt;&lt;isbn&gt;1932-6203&lt;/isbn&gt;&lt;urls&gt;&lt;/urls&gt;&lt;/record&gt;&lt;/Cite&gt;&lt;/EndNote&gt;</w:instrTex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01A93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43EF6" w:rsidTr="00E43EF6">
        <w:tc>
          <w:tcPr>
            <w:tcW w:w="819" w:type="dxa"/>
          </w:tcPr>
          <w:p w:rsidR="007B1D74" w:rsidRPr="00E43EF6" w:rsidRDefault="007B1D74" w:rsidP="00E43EF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i/>
                <w:sz w:val="24"/>
                <w:szCs w:val="24"/>
              </w:rPr>
              <w:t>RANKL</w:t>
            </w:r>
          </w:p>
        </w:tc>
        <w:tc>
          <w:tcPr>
            <w:tcW w:w="3754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GCAGCATCGCTCTGTTCCTGTA</w:t>
            </w:r>
          </w:p>
        </w:tc>
        <w:tc>
          <w:tcPr>
            <w:tcW w:w="3802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GCATGAGTCAGGTAGTGCTTCTGTG</w:t>
            </w:r>
          </w:p>
        </w:tc>
        <w:tc>
          <w:tcPr>
            <w:tcW w:w="975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&lt;EndNote&gt;&lt;Cite&gt;&lt;Author&gt;Zhou&lt;/Author&gt;&lt;Year&gt;2018&lt;/Year&gt;&lt;RecNum&gt;327&lt;/RecNum&gt;&lt;DisplayText&gt;&lt;style face="superscript"&gt;4&lt;/style&gt;&lt;/DisplayText&gt;&lt;record&gt;&lt;rec-number&gt;327&lt;/rec-number&gt;&lt;foreign-keys&gt;&lt;key app="EN" db-id="tzttae5a3sztt0efernx0ssp5pavwzr9wr02" timestamp="1705990543"&gt;327&lt;/key&gt;&lt;/foreign-keys&gt;&lt;ref-type name="Journal Article"&gt;17&lt;/ref-type&gt;&lt;contributors&gt;&lt;authors&gt;&lt;author&gt;Zhou, Li-Ping&lt;/author&gt;&lt;author&gt;Wong, Ka-Ying&lt;/author&gt;&lt;author&gt;Yeung, Hoi-Ting&lt;/author&gt;&lt;author&gt;Dong, Xiao-Li&lt;/author&gt;&lt;author&gt;Xiao, Hui-Hui&lt;/author&gt;&lt;author&gt;Gong, Amy G-W&lt;/author&gt;&lt;author&gt;Tsim, Karl W-K&lt;/author&gt;&lt;author&gt;Wong, Man-Sau&lt;/author&gt;&lt;/authors&gt;&lt;/contributors&gt;&lt;titles&gt;&lt;title&gt;Bone protective effects of danggui buxue tang alone and in combination with tamoxifen or raloxifene in vivo and in vitro&lt;/title&gt;&lt;secondary-title&gt;Frontiers in pharmacology&lt;/secondary-title&gt;&lt;/titles&gt;&lt;periodical&gt;&lt;full-title&gt;Frontiers in Pharmacology&lt;/full-title&gt;&lt;/periodical&gt;&lt;pages&gt;779&lt;/pages&gt;&lt;volume&gt;9&lt;/volume&gt;&lt;dates&gt;&lt;year&gt;2018&lt;/year&gt;&lt;/dates&gt;&lt;isbn&gt;1663-9812&lt;/isbn&gt;&lt;urls&gt;&lt;/urls&gt;&lt;/record&gt;&lt;/Cite&gt;&lt;/EndNote&gt;</w:instrTex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01A93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</w: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43EF6" w:rsidTr="00E43EF6">
        <w:tc>
          <w:tcPr>
            <w:tcW w:w="819" w:type="dxa"/>
          </w:tcPr>
          <w:p w:rsidR="007B1D74" w:rsidRPr="00E43EF6" w:rsidRDefault="007B1D74" w:rsidP="00E43EF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EF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="00E43EF6">
              <w:rPr>
                <w:rFonts w:ascii="Times New Roman" w:hAnsi="Times New Roman" w:cs="Times New Roman"/>
                <w:i/>
                <w:sz w:val="24"/>
                <w:szCs w:val="24"/>
              </w:rPr>
              <w:t>GLAP</w:t>
            </w:r>
          </w:p>
        </w:tc>
        <w:tc>
          <w:tcPr>
            <w:tcW w:w="3754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GTGCAGACCTAGCAGACACCA</w:t>
            </w:r>
          </w:p>
        </w:tc>
        <w:tc>
          <w:tcPr>
            <w:tcW w:w="3802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t>GTAGCGCCGGAGTCTATTCA</w:t>
            </w:r>
          </w:p>
        </w:tc>
        <w:tc>
          <w:tcPr>
            <w:tcW w:w="975" w:type="dxa"/>
          </w:tcPr>
          <w:p w:rsidR="007B1D74" w:rsidRPr="00501A93" w:rsidRDefault="007B1D74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&lt;EndNote&gt;&lt;Cite&gt;&lt;Author&gt;Skafi&lt;/Author&gt;&lt;Year&gt;2019&lt;/Year&gt;&lt;RecNum&gt;328&lt;/RecNum&gt;&lt;DisplayText&gt;&lt;style face="superscript"&gt;5&lt;/style&gt;&lt;/DisplayText&gt;&lt;record&gt;&lt;rec-number&gt;328&lt;/rec-number&gt;&lt;foreign-keys&gt;&lt;key app="EN" db-id="tzttae5a3sztt0efernx0ssp5pavwzr9wr02" timestamp="1705990655"&gt;328&lt;/key&gt;&lt;/foreign-keys&gt;&lt;ref-type name="Journal Article"&gt;17&lt;/ref-type&gt;&lt;contributors&gt;&lt;authors&gt;&lt;author&gt;Skafi, Najwa&lt;/author&gt;&lt;author&gt;Abdallah, Dina&lt;/author&gt;&lt;author&gt;Soulage, Christophe&lt;/author&gt;&lt;author&gt;Reibel, Sophie&lt;/author&gt;&lt;author&gt;Vitale, Nicolas&lt;/author&gt;&lt;author&gt;Hamade, Eva&lt;/author&gt;&lt;author&gt;Faour, Wissam&lt;/author&gt;&lt;author&gt;Magne, David&lt;/author&gt;&lt;author&gt;Badran, Bassam&lt;/author&gt;&lt;author&gt;Hussein, Nader&lt;/author&gt;&lt;/authors&gt;&lt;/contributors&gt;&lt;titles&gt;&lt;title&gt;Phospholipase D: A new mediator during high phosphate‐induced vascular calcification associated with chronic kidney disease&lt;/title&gt;&lt;secondary-title&gt;Journal of cellular physiology&lt;/secondary-title&gt;&lt;/titles&gt;&lt;periodical&gt;&lt;full-title&gt;Journal of cellular physiology&lt;/full-title&gt;&lt;/periodical&gt;&lt;pages&gt;4825-4839&lt;/pages&gt;&lt;volume&gt;234&lt;/volume&gt;&lt;number&gt;4&lt;/number&gt;&lt;dates&gt;&lt;year&gt;2019&lt;/year&gt;&lt;/dates&gt;&lt;isbn&gt;0021-9541&lt;/isbn&gt;&lt;urls&gt;&lt;/urls&gt;&lt;/record&gt;&lt;/Cite&gt;&lt;/EndNote&gt;</w:instrTex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01A93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</w: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43EF6" w:rsidTr="00E43EF6">
        <w:tc>
          <w:tcPr>
            <w:tcW w:w="819" w:type="dxa"/>
            <w:vAlign w:val="center"/>
          </w:tcPr>
          <w:p w:rsidR="007B1D74" w:rsidRPr="00501A93" w:rsidRDefault="007B1D74" w:rsidP="00E43EF6">
            <w:pPr>
              <w:spacing w:line="36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  <w:t>TRAP</w:t>
            </w:r>
          </w:p>
        </w:tc>
        <w:tc>
          <w:tcPr>
            <w:tcW w:w="3754" w:type="dxa"/>
            <w:vAlign w:val="center"/>
          </w:tcPr>
          <w:p w:rsidR="007B1D74" w:rsidRPr="00501A93" w:rsidRDefault="007B1D74" w:rsidP="00E43EF6">
            <w:pPr>
              <w:spacing w:line="360" w:lineRule="auto"/>
              <w:ind w:firstLine="154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  <w:t>CTGCTGGGCCTACAAATCAT</w:t>
            </w:r>
          </w:p>
        </w:tc>
        <w:tc>
          <w:tcPr>
            <w:tcW w:w="3802" w:type="dxa"/>
            <w:vAlign w:val="center"/>
          </w:tcPr>
          <w:p w:rsidR="007B1D74" w:rsidRPr="00501A93" w:rsidRDefault="007B1D74" w:rsidP="00E43EF6">
            <w:pPr>
              <w:spacing w:line="360" w:lineRule="auto"/>
              <w:ind w:firstLine="58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  <w:t>GGTAGTAAGGGCTGGGGAAG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7B1D74" w:rsidRPr="00501A93" w:rsidRDefault="00501A93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&lt;EndNote&gt;&lt;Cite&gt;&lt;Author&gt;Li&lt;/Author&gt;&lt;Year&gt;2021&lt;/Year&gt;&lt;RecNum&gt;329&lt;/RecNum&gt;&lt;DisplayText&gt;&lt;style face="superscript"&gt;6&lt;/style&gt;&lt;/DisplayText&gt;&lt;record&gt;&lt;rec-number&gt;329&lt;/rec-number&gt;&lt;foreign-keys&gt;&lt;key app="EN" db-id="tzttae5a3sztt0efernx0ssp5pavwzr9wr02" timestamp="1705990867"&gt;329&lt;/key&gt;&lt;/foreign-keys&gt;&lt;ref-type name="Journal Article"&gt;17&lt;/ref-type&gt;&lt;contributors&gt;&lt;authors&gt;&lt;author&gt;Li, Liang&lt;/author&gt;&lt;author&gt;Yang, Ming&lt;/author&gt;&lt;author&gt;Shrestha, Saroj Kumar&lt;/author&gt;&lt;author&gt;Kim, Hyoungsu&lt;/author&gt;&lt;author&gt;Gerwick, William H&lt;/author&gt;&lt;author&gt;Soh, Yunjo&lt;/author&gt;&lt;/authors&gt;&lt;/contributors&gt;&lt;titles&gt;&lt;title&gt;Kalkitoxin reduces osteoclast formation and resorption and protects against inflammatory bone loss&lt;/title&gt;&lt;secondary-title&gt;International Journal of Molecular Sciences&lt;/secondary-title&gt;&lt;/titles&gt;&lt;periodical&gt;&lt;full-title&gt;International Journal of Molecular Sciences&lt;/full-title&gt;&lt;/periodical&gt;&lt;pages&gt;2303&lt;/pages&gt;&lt;volume&gt;22&lt;/volume&gt;&lt;number&gt;5&lt;/number&gt;&lt;dates&gt;&lt;year&gt;2021&lt;/year&gt;&lt;/dates&gt;&lt;isbn&gt;1422-0067&lt;/isbn&gt;&lt;urls&gt;&lt;/urls&gt;&lt;/record&gt;&lt;/Cite&gt;&lt;/EndNote&gt;</w:instrTex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01A93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6</w: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43EF6" w:rsidTr="00E43EF6">
        <w:tc>
          <w:tcPr>
            <w:tcW w:w="819" w:type="dxa"/>
            <w:vAlign w:val="center"/>
          </w:tcPr>
          <w:p w:rsidR="00501A93" w:rsidRPr="00501A93" w:rsidRDefault="00501A93" w:rsidP="00E43EF6">
            <w:pPr>
              <w:spacing w:line="360" w:lineRule="auto"/>
              <w:jc w:val="center"/>
              <w:textAlignment w:val="baseline"/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  <w:t>RANK</w:t>
            </w:r>
          </w:p>
        </w:tc>
        <w:tc>
          <w:tcPr>
            <w:tcW w:w="3754" w:type="dxa"/>
            <w:vAlign w:val="center"/>
          </w:tcPr>
          <w:p w:rsidR="00501A93" w:rsidRPr="00501A93" w:rsidRDefault="00501A93" w:rsidP="00E43EF6">
            <w:pPr>
              <w:spacing w:line="360" w:lineRule="auto"/>
              <w:ind w:firstLine="154"/>
              <w:textAlignment w:val="baseline"/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  <w:t>AGAAGACGGTGCTGGAGTCT</w:t>
            </w:r>
          </w:p>
        </w:tc>
        <w:tc>
          <w:tcPr>
            <w:tcW w:w="3802" w:type="dxa"/>
            <w:tcBorders>
              <w:right w:val="single" w:sz="4" w:space="0" w:color="auto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58"/>
              <w:textAlignment w:val="baseline"/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  <w:t>TAGGAGCAGTGAACCAGTCG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1A93" w:rsidRPr="00501A93" w:rsidRDefault="00501A93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F6" w:rsidTr="00E43EF6">
        <w:tc>
          <w:tcPr>
            <w:tcW w:w="819" w:type="dxa"/>
            <w:vAlign w:val="center"/>
          </w:tcPr>
          <w:p w:rsidR="00501A93" w:rsidRPr="00501A93" w:rsidRDefault="00501A93" w:rsidP="00E43EF6">
            <w:pPr>
              <w:spacing w:line="360" w:lineRule="auto"/>
              <w:jc w:val="center"/>
              <w:textAlignment w:val="baseline"/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  <w:t>MMP9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154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GACGGCACGCCTTGGTGTAG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58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AGGAGCGGCCCTCAAAGATG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1A93" w:rsidRPr="00501A93" w:rsidRDefault="00501A93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&lt;EndNote&gt;&lt;Cite&gt;&lt;Author&gt;Lee&lt;/Author&gt;&lt;Year&gt;2015&lt;/Year&gt;&lt;RecNum&gt;330&lt;/RecNum&gt;&lt;DisplayText&gt;&lt;style face="superscript"&gt;7&lt;/style&gt;&lt;/DisplayText&gt;&lt;record&gt;&lt;rec-number&gt;330&lt;/rec-number&gt;&lt;foreign-keys&gt;&lt;key app="EN" db-id="tzttae5a3sztt0efernx0ssp5pavwzr9wr02" timestamp="1705991104"&gt;330&lt;/key&gt;&lt;/foreign-keys&gt;&lt;ref-type name="Journal Article"&gt;17&lt;/ref-type&gt;&lt;contributors&gt;&lt;authors&gt;&lt;author&gt;Lee, Yong Deok&lt;/author&gt;&lt;author&gt;Yoon, Soo-Hyun&lt;/author&gt;&lt;author&gt;Ji, Eunhee&lt;/author&gt;&lt;author&gt;Kim, Hong-Hee&lt;/author&gt;&lt;/authors&gt;&lt;/contributors&gt;&lt;titles&gt;&lt;title&gt;Caveolin-1 regulates osteoclast differentiation by suppressing cFms degradation&lt;/title&gt;&lt;secondary-title&gt;Experimental &amp;amp; Molecular Medicine&lt;/secondary-title&gt;&lt;/titles&gt;&lt;periodical&gt;&lt;full-title&gt;Experimental &amp;amp; Molecular Medicine&lt;/full-title&gt;&lt;/periodical&gt;&lt;pages&gt;e192-e192&lt;/pages&gt;&lt;volume&gt;47&lt;/volume&gt;&lt;number&gt;10&lt;/number&gt;&lt;dates&gt;&lt;year&gt;2015&lt;/year&gt;&lt;/dates&gt;&lt;isbn&gt;2092-6413&lt;/isbn&gt;&lt;urls&gt;&lt;/urls&gt;&lt;/record&gt;&lt;/Cite&gt;&lt;/EndNote&gt;</w:instrTex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01A93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7</w:t>
            </w:r>
            <w:r w:rsidRPr="00501A9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43EF6" w:rsidTr="00E43EF6"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1A93"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  <w:t>Ctsk</w:t>
            </w:r>
            <w:proofErr w:type="spellEnd"/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154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  <w:t>ATATGTGGGCCACCATGAAAGTT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58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  <w:t>TCGTTCCCCACAGGAATCTCT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1A93" w:rsidRPr="00501A93" w:rsidRDefault="00501A93" w:rsidP="00E43E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93" w:rsidTr="00E43EF6"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  <w:t>c-</w:t>
            </w:r>
            <w:proofErr w:type="spellStart"/>
            <w:r w:rsidRPr="00501A93"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  <w:t>fos</w:t>
            </w:r>
            <w:proofErr w:type="spellEnd"/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154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  <w:t>GGGACAGCCTTTCCTACTACC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58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  <w:t>GATCTGCGCAAAAGTCCTGT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instrText xml:space="preserve"> ADDIN EN.CITE &lt;EndNote&gt;&lt;Cite&gt;&lt;Author&gt;Bougault&lt;/Author&gt;&lt;Year&gt;2012&lt;/Year&gt;&lt;RecNum&gt;331&lt;/RecNum&gt;&lt;DisplayText&gt;&lt;style face="superscript"&gt;8&lt;/style&gt;&lt;/DisplayText&gt;&lt;record&gt;&lt;rec-number&gt;331&lt;/rec-number&gt;&lt;foreign-keys&gt;&lt;key app="EN" db-id="tzttae5a3sztt0efernx0ssp5pavwzr9wr02" timestamp="1705991257"&gt;331&lt;/key&gt;&lt;/foreign-keys&gt;&lt;ref-type name="Journal Article"&gt;17&lt;/ref-type&gt;&lt;contributors&gt;&lt;authors&gt;&lt;author&gt;Bougault, Carole&lt;/author&gt;&lt;author&gt;Aubert-Foucher, Elisabeth&lt;/author&gt;&lt;author&gt;Paumier, Anne&lt;/author&gt;&lt;author&gt;Perrier-Groult, Emeline&lt;/author&gt;&lt;author&gt;Huot, Ludovic&lt;/author&gt;&lt;author&gt;Hot, David&lt;/author&gt;&lt;author&gt;Duterque-Coquillaud, Martine&lt;/author&gt;&lt;author&gt;Mallein-Gerin, Frédéric&lt;/author&gt;&lt;/authors&gt;&lt;/contributors&gt;&lt;titles&gt;&lt;title&gt;Dynamic compression of chondrocyte-agarose constructs reveals new candidate mechanosensitive genes&lt;/title&gt;&lt;secondary-title&gt;PloS one&lt;/secondary-title&gt;&lt;/titles&gt;&lt;periodical&gt;&lt;full-title&gt;PLoS One&lt;/full-title&gt;&lt;/periodical&gt;&lt;pages&gt;e36964&lt;/pages&gt;&lt;volume&gt;7&lt;/volume&gt;&lt;number&gt;5&lt;/number&gt;&lt;dates&gt;&lt;year&gt;2012&lt;/year&gt;&lt;/dates&gt;&lt;isbn&gt;1932-6203&lt;/isbn&gt;&lt;urls&gt;&lt;/urls&gt;&lt;/record&gt;&lt;/Cite&gt;&lt;/EndNote&gt;</w:instrText>
            </w: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501A93">
              <w:rPr>
                <w:rFonts w:ascii="Times New Roman" w:eastAsia="Gulim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8</w:t>
            </w: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501A93" w:rsidTr="00E43EF6"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  <w:t>TRAF6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154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  <w:t>TGCGGGTCCAGCCAGTCGT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58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000000"/>
                <w:sz w:val="24"/>
                <w:szCs w:val="24"/>
              </w:rPr>
              <w:t>TTCCCGTAAAGCCATCAAGCAGA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instrText xml:space="preserve"> ADDIN EN.CITE &lt;EndNote&gt;&lt;Cite&gt;&lt;Author&gt;Mao&lt;/Author&gt;&lt;Year&gt;2012&lt;/Year&gt;&lt;RecNum&gt;333&lt;/RecNum&gt;&lt;DisplayText&gt;&lt;style face="superscript"&gt;9&lt;/style&gt;&lt;/DisplayText&gt;&lt;record&gt;&lt;rec-number&gt;333&lt;/rec-number&gt;&lt;foreign-keys&gt;&lt;key app="EN" db-id="tzttae5a3sztt0efernx0ssp5pavwzr9wr02" timestamp="1705991339"&gt;333&lt;/key&gt;&lt;/foreign-keys&gt;&lt;ref-type name="Journal Article"&gt;17&lt;/ref-type&gt;&lt;contributors&gt;&lt;authors&gt;&lt;author&gt;Mao, Xin&lt;/author&gt;&lt;author&gt;Pan, Xiaoyun&lt;/author&gt;&lt;author&gt;Zhao, Song&lt;/author&gt;&lt;author&gt;Peng, Xiaochun&lt;/author&gt;&lt;author&gt;Cheng, Tao&lt;/author&gt;&lt;author&gt;Zhang, Xianlong&lt;/author&gt;&lt;/authors&gt;&lt;/contributors&gt;&lt;titles&gt;&lt;title&gt;Protection against titanium particle-induced inflammatory osteolysis by the proteasome inhibitor bortezomib in vivo&lt;/title&gt;&lt;secondary-title&gt;Inflammation&lt;/secondary-title&gt;&lt;/titles&gt;&lt;periodical&gt;&lt;full-title&gt;Inflammation&lt;/full-title&gt;&lt;/periodical&gt;&lt;pages&gt;1378-1391&lt;/pages&gt;&lt;volume&gt;35&lt;/volume&gt;&lt;dates&gt;&lt;year&gt;2012&lt;/year&gt;&lt;/dates&gt;&lt;isbn&gt;0360-3997&lt;/isbn&gt;&lt;urls&gt;&lt;/urls&gt;&lt;/record&gt;&lt;/Cite&gt;&lt;/EndNote&gt;</w:instrText>
            </w: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501A93">
              <w:rPr>
                <w:rFonts w:ascii="Times New Roman" w:eastAsia="Gulim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9</w:t>
            </w: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501A93" w:rsidTr="00E43EF6">
        <w:tc>
          <w:tcPr>
            <w:tcW w:w="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jc w:val="center"/>
              <w:textAlignment w:val="baseline"/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i/>
                <w:iCs/>
                <w:color w:val="000000"/>
                <w:sz w:val="24"/>
                <w:szCs w:val="24"/>
              </w:rPr>
              <w:t>NFATc1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154"/>
              <w:textAlignment w:val="baseline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GGTAACTCTGTCTTTCTAACCTTAAGCTC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ind w:firstLine="58"/>
              <w:textAlignment w:val="baseline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501A93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GTGATGACCCCAGCATGCACCAGTCACAG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1A93" w:rsidRPr="00501A93" w:rsidRDefault="00501A93" w:rsidP="00E43EF6">
            <w:pPr>
              <w:spacing w:line="360" w:lineRule="auto"/>
              <w:textAlignment w:val="baseline"/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</w:pP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instrText xml:space="preserve"> ADDIN EN.CITE &lt;EndNote&gt;&lt;Cite&gt;&lt;Author&gt;Hajavifard&lt;/Author&gt;&lt;Year&gt;2020&lt;/Year&gt;&lt;RecNum&gt;335&lt;/RecNum&gt;&lt;DisplayText&gt;&lt;style face="superscript"&gt;10&lt;/style&gt;&lt;/DisplayText&gt;&lt;record&gt;&lt;rec-number&gt;335&lt;/rec-number&gt;&lt;foreign-keys&gt;&lt;key app="EN" db-id="tzttae5a3sztt0efernx0ssp5pavwzr9wr02" timestamp="1705991572"&gt;335&lt;/key&gt;&lt;/foreign-keys&gt;&lt;ref-type name="Journal Article"&gt;17&lt;/ref-type&gt;&lt;contributors&gt;&lt;authors&gt;&lt;author&gt;Hajavifard, Nasrin&lt;/author&gt;&lt;author&gt;Matinhomaee, Hasan&lt;/author&gt;&lt;author&gt;Hosseini, Seyed Ali&lt;/author&gt;&lt;/authors&gt;&lt;/contributors&gt;&lt;titles&gt;&lt;title&gt;Effect of Aerobic Training and Vitamin D Consumption on NFATc1 Gene Expression in Bone Tissue of Rats Exposed to H2O2&lt;/title&gt;&lt;secondary-title&gt;Gene, Cell and Tissue&lt;/secondary-title&gt;&lt;/titles&gt;&lt;periodical&gt;&lt;full-title&gt;Gene, Cell and Tissue&lt;/full-title&gt;&lt;/periodical&gt;&lt;volume&gt;7&lt;/volume&gt;&lt;number&gt;4&lt;/number&gt;&lt;dates&gt;&lt;year&gt;2020&lt;/year&gt;&lt;/dates&gt;&lt;isbn&gt;2345-6841&lt;/isbn&gt;&lt;urls&gt;&lt;/urls&gt;&lt;/record&gt;&lt;/Cite&gt;&lt;/EndNote&gt;</w:instrText>
            </w: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501A93">
              <w:rPr>
                <w:rFonts w:ascii="Times New Roman" w:eastAsia="Gulim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10</w:t>
            </w:r>
            <w:r w:rsidRPr="00501A93">
              <w:rPr>
                <w:rFonts w:ascii="Times New Roman" w:eastAsia="Gulim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</w:tbl>
    <w:p w:rsidR="007B1D74" w:rsidRPr="00E43EF6" w:rsidRDefault="00E43EF6">
      <w:pPr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t>Table S1. Primer list.</w:t>
      </w:r>
    </w:p>
    <w:p w:rsidR="007B1D74" w:rsidRDefault="007B1D74"/>
    <w:p w:rsidR="00E43EF6" w:rsidRDefault="00E43EF6"/>
    <w:p w:rsidR="00E43EF6" w:rsidRDefault="00E43EF6" w:rsidP="00E43EF6">
      <w:pPr>
        <w:pStyle w:val="ListParagraph"/>
        <w:numPr>
          <w:ilvl w:val="0"/>
          <w:numId w:val="1"/>
        </w:numPr>
      </w:pPr>
      <w:r>
        <w:lastRenderedPageBreak/>
        <w:t xml:space="preserve">ALP                                                                                           2. Runx2                                 </w:t>
      </w:r>
    </w:p>
    <w:p w:rsidR="00E43EF6" w:rsidRDefault="00E43EF6">
      <w:r>
        <w:rPr>
          <w:noProof/>
        </w:rPr>
        <w:drawing>
          <wp:anchor distT="0" distB="0" distL="114300" distR="114300" simplePos="0" relativeHeight="251659264" behindDoc="0" locked="0" layoutInCell="1" allowOverlap="1" wp14:anchorId="2B6D684E">
            <wp:simplePos x="0" y="0"/>
            <wp:positionH relativeFrom="column">
              <wp:posOffset>-419100</wp:posOffset>
            </wp:positionH>
            <wp:positionV relativeFrom="paragraph">
              <wp:posOffset>209550</wp:posOffset>
            </wp:positionV>
            <wp:extent cx="2742565" cy="344805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3EF6" w:rsidRDefault="00E43EF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9525</wp:posOffset>
            </wp:positionV>
            <wp:extent cx="2790825" cy="2895600"/>
            <wp:effectExtent l="0" t="0" r="9525" b="0"/>
            <wp:wrapTight wrapText="bothSides">
              <wp:wrapPolygon edited="0">
                <wp:start x="0" y="0"/>
                <wp:lineTo x="0" y="21458"/>
                <wp:lineTo x="21526" y="21458"/>
                <wp:lineTo x="2152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053CD0" w:rsidP="00053CD0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3619500</wp:posOffset>
            </wp:positionH>
            <wp:positionV relativeFrom="paragraph">
              <wp:posOffset>237490</wp:posOffset>
            </wp:positionV>
            <wp:extent cx="2324100" cy="370459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9"/>
                    <a:stretch/>
                  </pic:blipFill>
                  <pic:spPr bwMode="auto">
                    <a:xfrm>
                      <a:off x="0" y="0"/>
                      <a:ext cx="2324100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287655</wp:posOffset>
            </wp:positionV>
            <wp:extent cx="2714625" cy="3379617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37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OPG                                                                                            4. BGLAP</w:t>
      </w:r>
    </w:p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E43EF6" w:rsidRDefault="00E43EF6"/>
    <w:p w:rsidR="00053CD0" w:rsidRDefault="00053CD0"/>
    <w:p w:rsidR="00053CD0" w:rsidRDefault="00053CD0"/>
    <w:p w:rsidR="00053CD0" w:rsidRDefault="00053CD0" w:rsidP="00053CD0">
      <w:pPr>
        <w:pStyle w:val="ListParagraph"/>
        <w:numPr>
          <w:ilvl w:val="0"/>
          <w:numId w:val="3"/>
        </w:num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247650</wp:posOffset>
            </wp:positionV>
            <wp:extent cx="2590800" cy="54483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247650</wp:posOffset>
            </wp:positionV>
            <wp:extent cx="2876550" cy="59436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Coll1-a1                                                                                                 6. RANKL</w:t>
      </w:r>
    </w:p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EB55C4" w:rsidP="00EB55C4">
      <w:pPr>
        <w:pStyle w:val="ListParagraph"/>
        <w:numPr>
          <w:ilvl w:val="0"/>
          <w:numId w:val="4"/>
        </w:numPr>
      </w:pPr>
      <w:r>
        <w:lastRenderedPageBreak/>
        <w:t>TRAP                                                                                            8. RANK</w:t>
      </w:r>
    </w:p>
    <w:p w:rsidR="00053CD0" w:rsidRDefault="00053CD0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4514850</wp:posOffset>
            </wp:positionH>
            <wp:positionV relativeFrom="paragraph">
              <wp:posOffset>0</wp:posOffset>
            </wp:positionV>
            <wp:extent cx="2710815" cy="48196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-295275</wp:posOffset>
            </wp:positionH>
            <wp:positionV relativeFrom="paragraph">
              <wp:posOffset>0</wp:posOffset>
            </wp:positionV>
            <wp:extent cx="3063875" cy="4200525"/>
            <wp:effectExtent l="0" t="0" r="317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EB55C4" w:rsidP="00EB55C4">
      <w:pPr>
        <w:pStyle w:val="ListParagraph"/>
        <w:numPr>
          <w:ilvl w:val="0"/>
          <w:numId w:val="5"/>
        </w:num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2280285" cy="3800475"/>
            <wp:effectExtent l="0" t="0" r="5715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TRAF6                                                                         10. NFTAc1</w:t>
      </w:r>
    </w:p>
    <w:p w:rsidR="00EB55C4" w:rsidRDefault="00EB55C4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19050</wp:posOffset>
            </wp:positionV>
            <wp:extent cx="3100070" cy="3790950"/>
            <wp:effectExtent l="0" t="0" r="508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 w:rsidP="00EB55C4">
      <w:pPr>
        <w:pStyle w:val="ListParagraph"/>
        <w:numPr>
          <w:ilvl w:val="0"/>
          <w:numId w:val="6"/>
        </w:numPr>
      </w:pPr>
      <w:proofErr w:type="spellStart"/>
      <w:r>
        <w:t>CtsK</w:t>
      </w:r>
      <w:proofErr w:type="spellEnd"/>
      <w:r>
        <w:t xml:space="preserve">                                                                               12. c-</w:t>
      </w:r>
      <w:proofErr w:type="spellStart"/>
      <w:r>
        <w:t>Fos</w:t>
      </w:r>
      <w:proofErr w:type="spellEnd"/>
    </w:p>
    <w:p w:rsidR="00EB55C4" w:rsidRDefault="00EB55C4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3228975</wp:posOffset>
            </wp:positionH>
            <wp:positionV relativeFrom="paragraph">
              <wp:posOffset>74930</wp:posOffset>
            </wp:positionV>
            <wp:extent cx="2047875" cy="3578860"/>
            <wp:effectExtent l="0" t="0" r="9525" b="254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5C4" w:rsidRDefault="00EB55C4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-134620</wp:posOffset>
            </wp:positionV>
            <wp:extent cx="2400300" cy="3499159"/>
            <wp:effectExtent l="0" t="0" r="0" b="635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49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5C4" w:rsidRDefault="00EB55C4"/>
    <w:p w:rsidR="00EB55C4" w:rsidRDefault="00EB55C4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053CD0"/>
    <w:p w:rsidR="00053CD0" w:rsidRDefault="00EB55C4" w:rsidP="00EB55C4">
      <w:pPr>
        <w:pStyle w:val="ListParagraph"/>
        <w:numPr>
          <w:ilvl w:val="0"/>
          <w:numId w:val="7"/>
        </w:num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190500</wp:posOffset>
            </wp:positionV>
            <wp:extent cx="2784158" cy="317182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58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MMP9                                                                                 14. Beta Actin</w:t>
      </w:r>
    </w:p>
    <w:p w:rsidR="00EB55C4" w:rsidRDefault="00EB55C4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3238500</wp:posOffset>
            </wp:positionH>
            <wp:positionV relativeFrom="paragraph">
              <wp:posOffset>28575</wp:posOffset>
            </wp:positionV>
            <wp:extent cx="2343150" cy="372364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EB55C4" w:rsidRDefault="00EB55C4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 w:rsidP="00D7239E">
      <w:pPr>
        <w:pStyle w:val="ListParagraph"/>
        <w:numPr>
          <w:ilvl w:val="0"/>
          <w:numId w:val="8"/>
        </w:numPr>
      </w:pPr>
      <w:r>
        <w:lastRenderedPageBreak/>
        <w:t xml:space="preserve">ALP (band 1= </w:t>
      </w:r>
      <w:r w:rsidR="00602E10">
        <w:t xml:space="preserve">p. </w:t>
      </w:r>
      <w:r>
        <w:t xml:space="preserve">con, 2= HMF 10 </w:t>
      </w:r>
      <w:proofErr w:type="spellStart"/>
      <w:r>
        <w:t>uM</w:t>
      </w:r>
      <w:proofErr w:type="spellEnd"/>
      <w:r>
        <w:t xml:space="preserve">, 3= 20 </w:t>
      </w:r>
      <w:proofErr w:type="spellStart"/>
      <w:r>
        <w:t>uM</w:t>
      </w:r>
      <w:proofErr w:type="spellEnd"/>
      <w:r>
        <w:t xml:space="preserve">, 4= 50 </w:t>
      </w:r>
      <w:proofErr w:type="spellStart"/>
      <w:proofErr w:type="gramStart"/>
      <w:r w:rsidR="00602E10">
        <w:t>uM</w:t>
      </w:r>
      <w:proofErr w:type="spellEnd"/>
      <w:r w:rsidR="00602E10">
        <w:t xml:space="preserve">)  </w:t>
      </w:r>
      <w:r>
        <w:t xml:space="preserve"> </w:t>
      </w:r>
      <w:proofErr w:type="gramEnd"/>
      <w:r>
        <w:t xml:space="preserve">          2. Runx2</w:t>
      </w:r>
    </w:p>
    <w:p w:rsidR="00D7239E" w:rsidRDefault="00D7239E">
      <w:r>
        <w:t>(5= metformin 20uM and 6= Metformin 50uM)</w:t>
      </w:r>
    </w:p>
    <w:p w:rsidR="00D7239E" w:rsidRDefault="00D7239E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4086225</wp:posOffset>
            </wp:positionH>
            <wp:positionV relativeFrom="paragraph">
              <wp:posOffset>9525</wp:posOffset>
            </wp:positionV>
            <wp:extent cx="2303780" cy="3133725"/>
            <wp:effectExtent l="0" t="0" r="1270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361950</wp:posOffset>
            </wp:positionH>
            <wp:positionV relativeFrom="paragraph">
              <wp:posOffset>9525</wp:posOffset>
            </wp:positionV>
            <wp:extent cx="2495550" cy="288480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602E10" w:rsidRDefault="00602E10" w:rsidP="00602E10">
      <w:pPr>
        <w:pStyle w:val="ListParagraph"/>
        <w:numPr>
          <w:ilvl w:val="0"/>
          <w:numId w:val="9"/>
        </w:num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2428875" cy="4103370"/>
            <wp:effectExtent l="0" t="0" r="952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19" b="8696"/>
                    <a:stretch/>
                  </pic:blipFill>
                  <pic:spPr bwMode="auto">
                    <a:xfrm>
                      <a:off x="0" y="0"/>
                      <a:ext cx="2428875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OPG                                                                                             </w:t>
      </w:r>
    </w:p>
    <w:p w:rsidR="00D7239E" w:rsidRDefault="00602E10" w:rsidP="00602E10">
      <w:pPr>
        <w:pStyle w:val="ListParagraph"/>
      </w:pPr>
      <w:r>
        <w:t xml:space="preserve">            </w:t>
      </w:r>
      <w:r w:rsidRPr="00602E10">
        <w:t xml:space="preserve">4. </w:t>
      </w:r>
      <w:r>
        <w:t xml:space="preserve">   Coll1-a1                                                                          </w:t>
      </w:r>
    </w:p>
    <w:p w:rsidR="00D7239E" w:rsidRDefault="00D7239E"/>
    <w:p w:rsidR="00D7239E" w:rsidRDefault="00602E10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170180</wp:posOffset>
            </wp:positionV>
            <wp:extent cx="3082925" cy="3352800"/>
            <wp:effectExtent l="0" t="0" r="317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D7239E" w:rsidRDefault="00D7239E"/>
    <w:p w:rsidR="00EB55C4" w:rsidRDefault="00EB55C4"/>
    <w:p w:rsidR="00053CD0" w:rsidRDefault="00602E10" w:rsidP="00602E10">
      <w:pPr>
        <w:pStyle w:val="ListParagraph"/>
        <w:numPr>
          <w:ilvl w:val="0"/>
          <w:numId w:val="10"/>
        </w:numPr>
      </w:pPr>
      <w:r>
        <w:t>RANKL                                                                                           6. MMP9</w:t>
      </w:r>
    </w:p>
    <w:p w:rsidR="00602E10" w:rsidRDefault="00602E10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285750</wp:posOffset>
            </wp:positionV>
            <wp:extent cx="2571750" cy="3575050"/>
            <wp:effectExtent l="0" t="0" r="0" b="63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83"/>
                    <a:stretch/>
                  </pic:blipFill>
                  <pic:spPr bwMode="auto">
                    <a:xfrm>
                      <a:off x="0" y="0"/>
                      <a:ext cx="2571750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2891790" cy="3619500"/>
            <wp:effectExtent l="0" t="0" r="381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 w:rsidP="00602E10">
      <w:pPr>
        <w:ind w:left="360"/>
      </w:pPr>
      <w:r>
        <w:t xml:space="preserve">7. TRAF6 (b1= con, b2= p. con, b3= </w:t>
      </w:r>
      <w:proofErr w:type="spellStart"/>
      <w:r>
        <w:t>hmf</w:t>
      </w:r>
      <w:proofErr w:type="spellEnd"/>
      <w:r>
        <w:t xml:space="preserve"> 10 </w:t>
      </w:r>
      <w:proofErr w:type="spellStart"/>
      <w:r>
        <w:t>uM</w:t>
      </w:r>
      <w:proofErr w:type="spellEnd"/>
      <w:r>
        <w:t>,</w:t>
      </w:r>
    </w:p>
    <w:p w:rsidR="00602E10" w:rsidRDefault="00602E10" w:rsidP="00602E10">
      <w:pPr>
        <w:pStyle w:val="ListParagraph"/>
      </w:pPr>
      <w:r>
        <w:t xml:space="preserve">B4= 20uM, b5= 50 um, others we used </w:t>
      </w:r>
      <w:proofErr w:type="gramStart"/>
      <w:r>
        <w:t xml:space="preserve">metformin)   </w:t>
      </w:r>
      <w:proofErr w:type="gramEnd"/>
      <w:r>
        <w:t xml:space="preserve">     8. RANK</w:t>
      </w:r>
    </w:p>
    <w:p w:rsidR="00602E10" w:rsidRDefault="00602E10"/>
    <w:p w:rsidR="00602E10" w:rsidRDefault="00602E10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219618</wp:posOffset>
            </wp:positionV>
            <wp:extent cx="2296070" cy="2286000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0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180975</wp:posOffset>
            </wp:positionH>
            <wp:positionV relativeFrom="paragraph">
              <wp:posOffset>-305435</wp:posOffset>
            </wp:positionV>
            <wp:extent cx="2314575" cy="2810510"/>
            <wp:effectExtent l="0" t="0" r="0" b="889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 w:rsidP="00602E10">
      <w:pPr>
        <w:pStyle w:val="ListParagraph"/>
        <w:numPr>
          <w:ilvl w:val="0"/>
          <w:numId w:val="11"/>
        </w:numPr>
      </w:pPr>
      <w:proofErr w:type="spellStart"/>
      <w:r>
        <w:lastRenderedPageBreak/>
        <w:t>CtsK</w:t>
      </w:r>
      <w:proofErr w:type="spellEnd"/>
      <w:r>
        <w:t xml:space="preserve">                                                                                   10. C-</w:t>
      </w:r>
      <w:proofErr w:type="spellStart"/>
      <w:r>
        <w:t>Fos</w:t>
      </w:r>
      <w:proofErr w:type="spellEnd"/>
    </w:p>
    <w:p w:rsidR="00602E10" w:rsidRDefault="00602E10"/>
    <w:p w:rsidR="00602E10" w:rsidRDefault="00602E10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914650" cy="2962275"/>
            <wp:effectExtent l="0" t="0" r="0" b="952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2E10" w:rsidRDefault="00602E10"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page">
              <wp:posOffset>4219575</wp:posOffset>
            </wp:positionH>
            <wp:positionV relativeFrom="paragraph">
              <wp:posOffset>219710</wp:posOffset>
            </wp:positionV>
            <wp:extent cx="3500755" cy="1819275"/>
            <wp:effectExtent l="0" t="0" r="4445" b="952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2012A8" w:rsidP="002012A8">
      <w:r>
        <w:t>11. NFTAC1</w:t>
      </w:r>
    </w:p>
    <w:p w:rsidR="00602E10" w:rsidRDefault="002012A8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238760</wp:posOffset>
            </wp:positionV>
            <wp:extent cx="3771900" cy="25336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602E10" w:rsidRDefault="00602E10"/>
    <w:p w:rsidR="00053CD0" w:rsidRDefault="00053CD0"/>
    <w:p w:rsidR="002012A8" w:rsidRDefault="002012A8"/>
    <w:p w:rsidR="002012A8" w:rsidRDefault="002012A8" w:rsidP="002012A8">
      <w:pPr>
        <w:pStyle w:val="ListParagraph"/>
        <w:numPr>
          <w:ilvl w:val="0"/>
          <w:numId w:val="6"/>
        </w:numPr>
      </w:pPr>
      <w:r>
        <w:lastRenderedPageBreak/>
        <w:t>Beta actin</w:t>
      </w:r>
    </w:p>
    <w:p w:rsidR="002012A8" w:rsidRDefault="002012A8"/>
    <w:p w:rsidR="002012A8" w:rsidRDefault="002012A8">
      <w:r>
        <w:rPr>
          <w:noProof/>
        </w:rPr>
        <w:drawing>
          <wp:inline distT="0" distB="0" distL="0" distR="0" wp14:anchorId="6CF6F82B">
            <wp:extent cx="5876290" cy="480550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595" cy="4822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2A8" w:rsidRDefault="002012A8"/>
    <w:p w:rsidR="002012A8" w:rsidRDefault="002012A8"/>
    <w:p w:rsidR="002012A8" w:rsidRDefault="002012A8"/>
    <w:p w:rsidR="002012A8" w:rsidRDefault="002012A8"/>
    <w:p w:rsidR="002012A8" w:rsidRDefault="002012A8"/>
    <w:p w:rsidR="002012A8" w:rsidRDefault="002012A8"/>
    <w:p w:rsidR="002012A8" w:rsidRDefault="002012A8"/>
    <w:p w:rsidR="002012A8" w:rsidRDefault="002012A8"/>
    <w:p w:rsidR="002012A8" w:rsidRDefault="002012A8"/>
    <w:p w:rsidR="002012A8" w:rsidRPr="00F20D44" w:rsidRDefault="002012A8">
      <w:pPr>
        <w:rPr>
          <w:rFonts w:ascii="Times New Roman" w:hAnsi="Times New Roman" w:cs="Times New Roman"/>
          <w:b/>
          <w:sz w:val="24"/>
        </w:rPr>
      </w:pPr>
      <w:r w:rsidRPr="00F20D44">
        <w:rPr>
          <w:rFonts w:ascii="Times New Roman" w:hAnsi="Times New Roman" w:cs="Times New Roman"/>
          <w:b/>
          <w:sz w:val="24"/>
        </w:rPr>
        <w:lastRenderedPageBreak/>
        <w:t>Refer</w:t>
      </w:r>
      <w:r w:rsidR="00F20D44" w:rsidRPr="00F20D44">
        <w:rPr>
          <w:rFonts w:ascii="Times New Roman" w:hAnsi="Times New Roman" w:cs="Times New Roman"/>
          <w:b/>
          <w:sz w:val="24"/>
        </w:rPr>
        <w:t>ences</w:t>
      </w:r>
      <w:bookmarkStart w:id="0" w:name="_GoBack"/>
      <w:bookmarkEnd w:id="0"/>
    </w:p>
    <w:p w:rsidR="00501A93" w:rsidRPr="00E43EF6" w:rsidRDefault="007B1D74" w:rsidP="00E43EF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fldChar w:fldCharType="begin"/>
      </w:r>
      <w:r w:rsidRPr="00E43EF6">
        <w:rPr>
          <w:rFonts w:ascii="Times New Roman" w:hAnsi="Times New Roman" w:cs="Times New Roman"/>
          <w:sz w:val="24"/>
        </w:rPr>
        <w:instrText xml:space="preserve"> ADDIN EN.REFLIST </w:instrText>
      </w:r>
      <w:r w:rsidRPr="00E43EF6">
        <w:rPr>
          <w:rFonts w:ascii="Times New Roman" w:hAnsi="Times New Roman" w:cs="Times New Roman"/>
          <w:sz w:val="24"/>
        </w:rPr>
        <w:fldChar w:fldCharType="separate"/>
      </w:r>
      <w:r w:rsidR="00501A93" w:rsidRPr="00E43EF6">
        <w:rPr>
          <w:rFonts w:ascii="Times New Roman" w:hAnsi="Times New Roman" w:cs="Times New Roman"/>
          <w:sz w:val="24"/>
        </w:rPr>
        <w:t xml:space="preserve">(1) Siraj, F. M.; SathishKumar, N.; Kim, Y. J.; Kim, S. Y.; Yang, D. C. Ginsenoside F2 possesses anti-obesity activity via binding with PPARγ and inhibiting adipocyte differentiation in the 3T3-L1 cell line. </w:t>
      </w:r>
      <w:r w:rsidR="00501A93" w:rsidRPr="00E43EF6">
        <w:rPr>
          <w:rFonts w:ascii="Times New Roman" w:hAnsi="Times New Roman" w:cs="Times New Roman"/>
          <w:i/>
          <w:sz w:val="24"/>
        </w:rPr>
        <w:t xml:space="preserve">Journal of enzyme inhibition and medicinal chemistry </w:t>
      </w:r>
      <w:r w:rsidR="00501A93" w:rsidRPr="00E43EF6">
        <w:rPr>
          <w:rFonts w:ascii="Times New Roman" w:hAnsi="Times New Roman" w:cs="Times New Roman"/>
          <w:b/>
          <w:sz w:val="24"/>
        </w:rPr>
        <w:t>2015</w:t>
      </w:r>
      <w:r w:rsidR="00501A93" w:rsidRPr="00E43EF6">
        <w:rPr>
          <w:rFonts w:ascii="Times New Roman" w:hAnsi="Times New Roman" w:cs="Times New Roman"/>
          <w:sz w:val="24"/>
        </w:rPr>
        <w:t xml:space="preserve">, </w:t>
      </w:r>
      <w:r w:rsidR="00501A93" w:rsidRPr="00E43EF6">
        <w:rPr>
          <w:rFonts w:ascii="Times New Roman" w:hAnsi="Times New Roman" w:cs="Times New Roman"/>
          <w:i/>
          <w:sz w:val="24"/>
        </w:rPr>
        <w:t>30</w:t>
      </w:r>
      <w:r w:rsidR="00501A93" w:rsidRPr="00E43EF6">
        <w:rPr>
          <w:rFonts w:ascii="Times New Roman" w:hAnsi="Times New Roman" w:cs="Times New Roman"/>
          <w:sz w:val="24"/>
        </w:rPr>
        <w:t xml:space="preserve"> (1), 9-14.</w:t>
      </w:r>
    </w:p>
    <w:p w:rsidR="00501A93" w:rsidRPr="00E43EF6" w:rsidRDefault="00501A93" w:rsidP="00E43EF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t xml:space="preserve">(2) Siddiqi, M. H.; Siddiqi, M. Z.; Ahn, S.; Kim, Y.-J.; Yang, D. C. Ginsenoside Rh1 induces mouse osteoblast growth and differentiation through the bone morphogenetic protein 2/runt-related gene 2 signalling pathway. </w:t>
      </w:r>
      <w:r w:rsidRPr="00E43EF6">
        <w:rPr>
          <w:rFonts w:ascii="Times New Roman" w:hAnsi="Times New Roman" w:cs="Times New Roman"/>
          <w:i/>
          <w:sz w:val="24"/>
        </w:rPr>
        <w:t xml:space="preserve">Journal of Pharmacy and Pharmacology </w:t>
      </w:r>
      <w:r w:rsidRPr="00E43EF6">
        <w:rPr>
          <w:rFonts w:ascii="Times New Roman" w:hAnsi="Times New Roman" w:cs="Times New Roman"/>
          <w:b/>
          <w:sz w:val="24"/>
        </w:rPr>
        <w:t>2014</w:t>
      </w:r>
      <w:r w:rsidRPr="00E43EF6">
        <w:rPr>
          <w:rFonts w:ascii="Times New Roman" w:hAnsi="Times New Roman" w:cs="Times New Roman"/>
          <w:sz w:val="24"/>
        </w:rPr>
        <w:t xml:space="preserve">, </w:t>
      </w:r>
      <w:r w:rsidRPr="00E43EF6">
        <w:rPr>
          <w:rFonts w:ascii="Times New Roman" w:hAnsi="Times New Roman" w:cs="Times New Roman"/>
          <w:i/>
          <w:sz w:val="24"/>
        </w:rPr>
        <w:t>66</w:t>
      </w:r>
      <w:r w:rsidRPr="00E43EF6">
        <w:rPr>
          <w:rFonts w:ascii="Times New Roman" w:hAnsi="Times New Roman" w:cs="Times New Roman"/>
          <w:sz w:val="24"/>
        </w:rPr>
        <w:t xml:space="preserve"> (12), 1763-1773.</w:t>
      </w:r>
    </w:p>
    <w:p w:rsidR="00501A93" w:rsidRPr="00E43EF6" w:rsidRDefault="00501A93" w:rsidP="00E43EF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t xml:space="preserve">(3) Zhao, J.-J.; Wu, Z.-F.; Wang, L.; Feng, D.-H.; Cheng, L. MicroRNA-145 mediates steroid-induced necrosis of the femoral head by targeting the OPG/RANK/RANKL signaling pathway. </w:t>
      </w:r>
      <w:r w:rsidRPr="00E43EF6">
        <w:rPr>
          <w:rFonts w:ascii="Times New Roman" w:hAnsi="Times New Roman" w:cs="Times New Roman"/>
          <w:i/>
          <w:sz w:val="24"/>
        </w:rPr>
        <w:t xml:space="preserve">PLoS One </w:t>
      </w:r>
      <w:r w:rsidRPr="00E43EF6">
        <w:rPr>
          <w:rFonts w:ascii="Times New Roman" w:hAnsi="Times New Roman" w:cs="Times New Roman"/>
          <w:b/>
          <w:sz w:val="24"/>
        </w:rPr>
        <w:t>2016</w:t>
      </w:r>
      <w:r w:rsidRPr="00E43EF6">
        <w:rPr>
          <w:rFonts w:ascii="Times New Roman" w:hAnsi="Times New Roman" w:cs="Times New Roman"/>
          <w:sz w:val="24"/>
        </w:rPr>
        <w:t xml:space="preserve">, </w:t>
      </w:r>
      <w:r w:rsidRPr="00E43EF6">
        <w:rPr>
          <w:rFonts w:ascii="Times New Roman" w:hAnsi="Times New Roman" w:cs="Times New Roman"/>
          <w:i/>
          <w:sz w:val="24"/>
        </w:rPr>
        <w:t>11</w:t>
      </w:r>
      <w:r w:rsidRPr="00E43EF6">
        <w:rPr>
          <w:rFonts w:ascii="Times New Roman" w:hAnsi="Times New Roman" w:cs="Times New Roman"/>
          <w:sz w:val="24"/>
        </w:rPr>
        <w:t xml:space="preserve"> (7), e0159805.</w:t>
      </w:r>
    </w:p>
    <w:p w:rsidR="00501A93" w:rsidRPr="00E43EF6" w:rsidRDefault="00501A93" w:rsidP="00E43EF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t xml:space="preserve">(4) Zhou, L.-P.; Wong, K.-Y.; Yeung, H.-T.; Dong, X.-L.; Xiao, H.-H.; Gong, A. G.-W.; Tsim, K. W.-K.; Wong, M.-S. Bone protective effects of danggui buxue tang alone and in combination with tamoxifen or raloxifene in vivo and in vitro. </w:t>
      </w:r>
      <w:r w:rsidRPr="00E43EF6">
        <w:rPr>
          <w:rFonts w:ascii="Times New Roman" w:hAnsi="Times New Roman" w:cs="Times New Roman"/>
          <w:i/>
          <w:sz w:val="24"/>
        </w:rPr>
        <w:t xml:space="preserve">Frontiers in pharmacology </w:t>
      </w:r>
      <w:r w:rsidRPr="00E43EF6">
        <w:rPr>
          <w:rFonts w:ascii="Times New Roman" w:hAnsi="Times New Roman" w:cs="Times New Roman"/>
          <w:b/>
          <w:sz w:val="24"/>
        </w:rPr>
        <w:t>2018</w:t>
      </w:r>
      <w:r w:rsidRPr="00E43EF6">
        <w:rPr>
          <w:rFonts w:ascii="Times New Roman" w:hAnsi="Times New Roman" w:cs="Times New Roman"/>
          <w:sz w:val="24"/>
        </w:rPr>
        <w:t xml:space="preserve">, </w:t>
      </w:r>
      <w:r w:rsidRPr="00E43EF6">
        <w:rPr>
          <w:rFonts w:ascii="Times New Roman" w:hAnsi="Times New Roman" w:cs="Times New Roman"/>
          <w:i/>
          <w:sz w:val="24"/>
        </w:rPr>
        <w:t>9</w:t>
      </w:r>
      <w:r w:rsidRPr="00E43EF6">
        <w:rPr>
          <w:rFonts w:ascii="Times New Roman" w:hAnsi="Times New Roman" w:cs="Times New Roman"/>
          <w:sz w:val="24"/>
        </w:rPr>
        <w:t>, 779.</w:t>
      </w:r>
    </w:p>
    <w:p w:rsidR="00501A93" w:rsidRPr="00E43EF6" w:rsidRDefault="00501A93" w:rsidP="00E43EF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t xml:space="preserve">(5) Skafi, N.; Abdallah, D.; Soulage, C.; Reibel, S.; Vitale, N.; Hamade, E.; Faour, W.; Magne, D.; Badran, B.; Hussein, N. Phospholipase D: A new mediator during high phosphate‐induced vascular calcification associated with chronic kidney disease. </w:t>
      </w:r>
      <w:r w:rsidRPr="00E43EF6">
        <w:rPr>
          <w:rFonts w:ascii="Times New Roman" w:hAnsi="Times New Roman" w:cs="Times New Roman"/>
          <w:i/>
          <w:sz w:val="24"/>
        </w:rPr>
        <w:t xml:space="preserve">Journal of cellular physiology </w:t>
      </w:r>
      <w:r w:rsidRPr="00E43EF6">
        <w:rPr>
          <w:rFonts w:ascii="Times New Roman" w:hAnsi="Times New Roman" w:cs="Times New Roman"/>
          <w:b/>
          <w:sz w:val="24"/>
        </w:rPr>
        <w:t>2019</w:t>
      </w:r>
      <w:r w:rsidRPr="00E43EF6">
        <w:rPr>
          <w:rFonts w:ascii="Times New Roman" w:hAnsi="Times New Roman" w:cs="Times New Roman"/>
          <w:sz w:val="24"/>
        </w:rPr>
        <w:t xml:space="preserve">, </w:t>
      </w:r>
      <w:r w:rsidRPr="00E43EF6">
        <w:rPr>
          <w:rFonts w:ascii="Times New Roman" w:hAnsi="Times New Roman" w:cs="Times New Roman"/>
          <w:i/>
          <w:sz w:val="24"/>
        </w:rPr>
        <w:t>234</w:t>
      </w:r>
      <w:r w:rsidRPr="00E43EF6">
        <w:rPr>
          <w:rFonts w:ascii="Times New Roman" w:hAnsi="Times New Roman" w:cs="Times New Roman"/>
          <w:sz w:val="24"/>
        </w:rPr>
        <w:t xml:space="preserve"> (4), 4825-4839.</w:t>
      </w:r>
    </w:p>
    <w:p w:rsidR="00501A93" w:rsidRPr="00E43EF6" w:rsidRDefault="00501A93" w:rsidP="00E43EF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t xml:space="preserve">(6) Li, L.; Yang, M.; Shrestha, S. K.; Kim, H.; Gerwick, W. H.; Soh, Y. Kalkitoxin reduces osteoclast formation and resorption and protects against inflammatory bone loss. </w:t>
      </w:r>
      <w:r w:rsidRPr="00E43EF6">
        <w:rPr>
          <w:rFonts w:ascii="Times New Roman" w:hAnsi="Times New Roman" w:cs="Times New Roman"/>
          <w:i/>
          <w:sz w:val="24"/>
        </w:rPr>
        <w:t xml:space="preserve">International Journal of Molecular Sciences </w:t>
      </w:r>
      <w:r w:rsidRPr="00E43EF6">
        <w:rPr>
          <w:rFonts w:ascii="Times New Roman" w:hAnsi="Times New Roman" w:cs="Times New Roman"/>
          <w:b/>
          <w:sz w:val="24"/>
        </w:rPr>
        <w:t>2021</w:t>
      </w:r>
      <w:r w:rsidRPr="00E43EF6">
        <w:rPr>
          <w:rFonts w:ascii="Times New Roman" w:hAnsi="Times New Roman" w:cs="Times New Roman"/>
          <w:sz w:val="24"/>
        </w:rPr>
        <w:t xml:space="preserve">, </w:t>
      </w:r>
      <w:r w:rsidRPr="00E43EF6">
        <w:rPr>
          <w:rFonts w:ascii="Times New Roman" w:hAnsi="Times New Roman" w:cs="Times New Roman"/>
          <w:i/>
          <w:sz w:val="24"/>
        </w:rPr>
        <w:t>22</w:t>
      </w:r>
      <w:r w:rsidRPr="00E43EF6">
        <w:rPr>
          <w:rFonts w:ascii="Times New Roman" w:hAnsi="Times New Roman" w:cs="Times New Roman"/>
          <w:sz w:val="24"/>
        </w:rPr>
        <w:t xml:space="preserve"> (5), 2303.</w:t>
      </w:r>
    </w:p>
    <w:p w:rsidR="00501A93" w:rsidRPr="00E43EF6" w:rsidRDefault="00501A93" w:rsidP="00E43EF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t xml:space="preserve">(7) Lee, Y. D.; Yoon, S.-H.; Ji, E.; Kim, H.-H. Caveolin-1 regulates osteoclast differentiation by suppressing cFms degradation. </w:t>
      </w:r>
      <w:r w:rsidRPr="00E43EF6">
        <w:rPr>
          <w:rFonts w:ascii="Times New Roman" w:hAnsi="Times New Roman" w:cs="Times New Roman"/>
          <w:i/>
          <w:sz w:val="24"/>
        </w:rPr>
        <w:t xml:space="preserve">Experimental &amp; Molecular Medicine </w:t>
      </w:r>
      <w:r w:rsidRPr="00E43EF6">
        <w:rPr>
          <w:rFonts w:ascii="Times New Roman" w:hAnsi="Times New Roman" w:cs="Times New Roman"/>
          <w:b/>
          <w:sz w:val="24"/>
        </w:rPr>
        <w:t>2015</w:t>
      </w:r>
      <w:r w:rsidRPr="00E43EF6">
        <w:rPr>
          <w:rFonts w:ascii="Times New Roman" w:hAnsi="Times New Roman" w:cs="Times New Roman"/>
          <w:sz w:val="24"/>
        </w:rPr>
        <w:t xml:space="preserve">, </w:t>
      </w:r>
      <w:r w:rsidRPr="00E43EF6">
        <w:rPr>
          <w:rFonts w:ascii="Times New Roman" w:hAnsi="Times New Roman" w:cs="Times New Roman"/>
          <w:i/>
          <w:sz w:val="24"/>
        </w:rPr>
        <w:t>47</w:t>
      </w:r>
      <w:r w:rsidRPr="00E43EF6">
        <w:rPr>
          <w:rFonts w:ascii="Times New Roman" w:hAnsi="Times New Roman" w:cs="Times New Roman"/>
          <w:sz w:val="24"/>
        </w:rPr>
        <w:t xml:space="preserve"> (10), e192-e192.</w:t>
      </w:r>
    </w:p>
    <w:p w:rsidR="00501A93" w:rsidRPr="00E43EF6" w:rsidRDefault="00501A93" w:rsidP="00E43EF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t xml:space="preserve">(8) Bougault, C.; Aubert-Foucher, E.; Paumier, A.; Perrier-Groult, E.; Huot, L.; Hot, D.; Duterque-Coquillaud, M.; Mallein-Gerin, F. Dynamic compression of chondrocyte-agarose constructs reveals new candidate mechanosensitive genes. </w:t>
      </w:r>
      <w:r w:rsidRPr="00E43EF6">
        <w:rPr>
          <w:rFonts w:ascii="Times New Roman" w:hAnsi="Times New Roman" w:cs="Times New Roman"/>
          <w:i/>
          <w:sz w:val="24"/>
        </w:rPr>
        <w:t xml:space="preserve">PloS one </w:t>
      </w:r>
      <w:r w:rsidRPr="00E43EF6">
        <w:rPr>
          <w:rFonts w:ascii="Times New Roman" w:hAnsi="Times New Roman" w:cs="Times New Roman"/>
          <w:b/>
          <w:sz w:val="24"/>
        </w:rPr>
        <w:t>2012</w:t>
      </w:r>
      <w:r w:rsidRPr="00E43EF6">
        <w:rPr>
          <w:rFonts w:ascii="Times New Roman" w:hAnsi="Times New Roman" w:cs="Times New Roman"/>
          <w:sz w:val="24"/>
        </w:rPr>
        <w:t xml:space="preserve">, </w:t>
      </w:r>
      <w:r w:rsidRPr="00E43EF6">
        <w:rPr>
          <w:rFonts w:ascii="Times New Roman" w:hAnsi="Times New Roman" w:cs="Times New Roman"/>
          <w:i/>
          <w:sz w:val="24"/>
        </w:rPr>
        <w:t>7</w:t>
      </w:r>
      <w:r w:rsidRPr="00E43EF6">
        <w:rPr>
          <w:rFonts w:ascii="Times New Roman" w:hAnsi="Times New Roman" w:cs="Times New Roman"/>
          <w:sz w:val="24"/>
        </w:rPr>
        <w:t xml:space="preserve"> (5), e36964.</w:t>
      </w:r>
    </w:p>
    <w:p w:rsidR="00501A93" w:rsidRPr="00E43EF6" w:rsidRDefault="00501A93" w:rsidP="00E43EF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t xml:space="preserve">(9) Mao, X.; Pan, X.; Zhao, S.; Peng, X.; Cheng, T.; Zhang, X. Protection against titanium particle-induced inflammatory osteolysis by the proteasome inhibitor bortezomib in vivo. </w:t>
      </w:r>
      <w:r w:rsidRPr="00E43EF6">
        <w:rPr>
          <w:rFonts w:ascii="Times New Roman" w:hAnsi="Times New Roman" w:cs="Times New Roman"/>
          <w:i/>
          <w:sz w:val="24"/>
        </w:rPr>
        <w:t xml:space="preserve">Inflammation </w:t>
      </w:r>
      <w:r w:rsidRPr="00E43EF6">
        <w:rPr>
          <w:rFonts w:ascii="Times New Roman" w:hAnsi="Times New Roman" w:cs="Times New Roman"/>
          <w:b/>
          <w:sz w:val="24"/>
        </w:rPr>
        <w:t>2012</w:t>
      </w:r>
      <w:r w:rsidRPr="00E43EF6">
        <w:rPr>
          <w:rFonts w:ascii="Times New Roman" w:hAnsi="Times New Roman" w:cs="Times New Roman"/>
          <w:sz w:val="24"/>
        </w:rPr>
        <w:t xml:space="preserve">, </w:t>
      </w:r>
      <w:r w:rsidRPr="00E43EF6">
        <w:rPr>
          <w:rFonts w:ascii="Times New Roman" w:hAnsi="Times New Roman" w:cs="Times New Roman"/>
          <w:i/>
          <w:sz w:val="24"/>
        </w:rPr>
        <w:t>35</w:t>
      </w:r>
      <w:r w:rsidRPr="00E43EF6">
        <w:rPr>
          <w:rFonts w:ascii="Times New Roman" w:hAnsi="Times New Roman" w:cs="Times New Roman"/>
          <w:sz w:val="24"/>
        </w:rPr>
        <w:t>, 1378-1391.</w:t>
      </w:r>
    </w:p>
    <w:p w:rsidR="00501A93" w:rsidRPr="00E43EF6" w:rsidRDefault="00501A93" w:rsidP="00E43EF6">
      <w:pPr>
        <w:pStyle w:val="EndNoteBibliography"/>
        <w:spacing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lastRenderedPageBreak/>
        <w:t xml:space="preserve">(10) Hajavifard, N.; Matinhomaee, H.; Hosseini, S. A. Effect of Aerobic Training and Vitamin D Consumption on NFATc1 Gene Expression in Bone Tissue of Rats Exposed to H2O2. </w:t>
      </w:r>
      <w:r w:rsidRPr="00E43EF6">
        <w:rPr>
          <w:rFonts w:ascii="Times New Roman" w:hAnsi="Times New Roman" w:cs="Times New Roman"/>
          <w:i/>
          <w:sz w:val="24"/>
        </w:rPr>
        <w:t xml:space="preserve">Gene, Cell and Tissue </w:t>
      </w:r>
      <w:r w:rsidRPr="00E43EF6">
        <w:rPr>
          <w:rFonts w:ascii="Times New Roman" w:hAnsi="Times New Roman" w:cs="Times New Roman"/>
          <w:b/>
          <w:sz w:val="24"/>
        </w:rPr>
        <w:t>2020</w:t>
      </w:r>
      <w:r w:rsidRPr="00E43EF6">
        <w:rPr>
          <w:rFonts w:ascii="Times New Roman" w:hAnsi="Times New Roman" w:cs="Times New Roman"/>
          <w:sz w:val="24"/>
        </w:rPr>
        <w:t xml:space="preserve">, </w:t>
      </w:r>
      <w:r w:rsidRPr="00E43EF6">
        <w:rPr>
          <w:rFonts w:ascii="Times New Roman" w:hAnsi="Times New Roman" w:cs="Times New Roman"/>
          <w:i/>
          <w:sz w:val="24"/>
        </w:rPr>
        <w:t>7</w:t>
      </w:r>
      <w:r w:rsidRPr="00E43EF6">
        <w:rPr>
          <w:rFonts w:ascii="Times New Roman" w:hAnsi="Times New Roman" w:cs="Times New Roman"/>
          <w:sz w:val="24"/>
        </w:rPr>
        <w:t xml:space="preserve"> (4).</w:t>
      </w:r>
    </w:p>
    <w:p w:rsidR="00907408" w:rsidRPr="00E43EF6" w:rsidRDefault="007B1D74" w:rsidP="00E43EF6">
      <w:pPr>
        <w:spacing w:line="360" w:lineRule="auto"/>
        <w:rPr>
          <w:rFonts w:ascii="Times New Roman" w:hAnsi="Times New Roman" w:cs="Times New Roman"/>
          <w:sz w:val="24"/>
        </w:rPr>
      </w:pPr>
      <w:r w:rsidRPr="00E43EF6">
        <w:rPr>
          <w:rFonts w:ascii="Times New Roman" w:hAnsi="Times New Roman" w:cs="Times New Roman"/>
          <w:sz w:val="24"/>
        </w:rPr>
        <w:fldChar w:fldCharType="end"/>
      </w:r>
    </w:p>
    <w:sectPr w:rsidR="00907408" w:rsidRPr="00E43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691D"/>
    <w:multiLevelType w:val="hybridMultilevel"/>
    <w:tmpl w:val="7418232C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7755"/>
    <w:multiLevelType w:val="hybridMultilevel"/>
    <w:tmpl w:val="9110AE3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D02A9"/>
    <w:multiLevelType w:val="hybridMultilevel"/>
    <w:tmpl w:val="5BC049BA"/>
    <w:lvl w:ilvl="0" w:tplc="93B281B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804BF"/>
    <w:multiLevelType w:val="hybridMultilevel"/>
    <w:tmpl w:val="72EA018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E120C"/>
    <w:multiLevelType w:val="hybridMultilevel"/>
    <w:tmpl w:val="47FC1E3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4661"/>
    <w:multiLevelType w:val="hybridMultilevel"/>
    <w:tmpl w:val="5860C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52117"/>
    <w:multiLevelType w:val="hybridMultilevel"/>
    <w:tmpl w:val="A5041CF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55B89"/>
    <w:multiLevelType w:val="hybridMultilevel"/>
    <w:tmpl w:val="EA2A0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D2724"/>
    <w:multiLevelType w:val="hybridMultilevel"/>
    <w:tmpl w:val="5DC6FA9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6448F"/>
    <w:multiLevelType w:val="hybridMultilevel"/>
    <w:tmpl w:val="FD96FBA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80442"/>
    <w:multiLevelType w:val="hybridMultilevel"/>
    <w:tmpl w:val="6E7C274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ttae5a3sztt0efernx0ssp5pavwzr9wr02&quot;&gt;My EndNote Library&lt;record-ids&gt;&lt;item&gt;324&lt;/item&gt;&lt;item&gt;325&lt;/item&gt;&lt;item&gt;326&lt;/item&gt;&lt;item&gt;327&lt;/item&gt;&lt;item&gt;328&lt;/item&gt;&lt;item&gt;329&lt;/item&gt;&lt;item&gt;330&lt;/item&gt;&lt;item&gt;331&lt;/item&gt;&lt;item&gt;333&lt;/item&gt;&lt;item&gt;335&lt;/item&gt;&lt;/record-ids&gt;&lt;/item&gt;&lt;/Libraries&gt;"/>
  </w:docVars>
  <w:rsids>
    <w:rsidRoot w:val="007B1D74"/>
    <w:rsid w:val="00053CD0"/>
    <w:rsid w:val="002012A8"/>
    <w:rsid w:val="00501A93"/>
    <w:rsid w:val="00602E10"/>
    <w:rsid w:val="007B1D74"/>
    <w:rsid w:val="00907408"/>
    <w:rsid w:val="00D7239E"/>
    <w:rsid w:val="00E43EF6"/>
    <w:rsid w:val="00EB55C4"/>
    <w:rsid w:val="00F2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61F3B"/>
  <w15:chartTrackingRefBased/>
  <w15:docId w15:val="{4598FD14-DF26-4FAF-ABD4-55996E3B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B1D7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B1D7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B1D7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B1D74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E43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3</cp:revision>
  <dcterms:created xsi:type="dcterms:W3CDTF">2024-01-23T05:57:00Z</dcterms:created>
  <dcterms:modified xsi:type="dcterms:W3CDTF">2024-01-23T07:25:00Z</dcterms:modified>
</cp:coreProperties>
</file>