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/>
          <w:bCs/>
          <w:lang w:val="en-US" w:eastAsia="zh-CN"/>
        </w:rPr>
        <w:t xml:space="preserve">FIGURE </w:t>
      </w:r>
      <w:r>
        <w:rPr>
          <w:rFonts w:hint="eastAsia"/>
          <w:b/>
          <w:bCs/>
          <w:lang w:val="en-US" w:eastAsia="zh-CN"/>
        </w:rPr>
        <w:t>1</w:t>
      </w:r>
      <w:r>
        <w:rPr>
          <w:rFonts w:hint="default"/>
          <w:b/>
          <w:bCs/>
          <w:lang w:val="en-US" w:eastAsia="zh-CN"/>
        </w:rPr>
        <w:t xml:space="preserve"> |</w:t>
      </w:r>
      <w:r>
        <w:rPr>
          <w:rFonts w:hint="default"/>
          <w:b w:val="0"/>
          <w:bCs w:val="0"/>
          <w:lang w:val="en-US" w:eastAsia="zh-CN"/>
        </w:rPr>
        <w:t xml:space="preserve"> Kaplan–Meier renal survival curve for </w:t>
      </w:r>
      <w:r>
        <w:rPr>
          <w:rFonts w:hint="eastAsia"/>
          <w:b w:val="0"/>
          <w:bCs w:val="0"/>
          <w:lang w:val="en-US" w:eastAsia="zh-CN"/>
        </w:rPr>
        <w:t xml:space="preserve">diffuse </w:t>
      </w:r>
      <w:r>
        <w:rPr>
          <w:rFonts w:hint="default"/>
          <w:b w:val="0"/>
          <w:bCs w:val="0"/>
          <w:lang w:val="en-US" w:eastAsia="zh-CN"/>
        </w:rPr>
        <w:t>crescentic glomerulonephritis and different risk factors.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default"/>
          <w:b w:val="0"/>
          <w:bCs w:val="0"/>
          <w:lang w:val="en-US" w:eastAsia="zh-CN"/>
        </w:rPr>
        <w:t>(</w:t>
      </w:r>
      <w:r>
        <w:rPr>
          <w:rFonts w:hint="eastAsia"/>
          <w:b w:val="0"/>
          <w:bCs w:val="0"/>
          <w:lang w:val="en-US" w:eastAsia="zh-CN"/>
        </w:rPr>
        <w:t>a</w:t>
      </w:r>
      <w:r>
        <w:rPr>
          <w:rFonts w:hint="default"/>
          <w:b w:val="0"/>
          <w:bCs w:val="0"/>
          <w:lang w:val="en-US" w:eastAsia="zh-CN"/>
        </w:rPr>
        <w:t>)</w:t>
      </w:r>
      <w:r>
        <w:rPr>
          <w:rFonts w:hint="eastAsia"/>
          <w:b w:val="0"/>
          <w:bCs w:val="0"/>
          <w:lang w:val="en-US" w:eastAsia="zh-CN"/>
        </w:rPr>
        <w:t>Global glomerulosclerosis</w:t>
      </w:r>
      <w:r>
        <w:rPr>
          <w:rFonts w:hint="default"/>
          <w:b w:val="0"/>
          <w:bCs w:val="0"/>
          <w:lang w:val="en-US" w:eastAsia="zh-CN"/>
        </w:rPr>
        <w:t>, (</w:t>
      </w:r>
      <w:r>
        <w:rPr>
          <w:rFonts w:hint="eastAsia"/>
          <w:b w:val="0"/>
          <w:bCs w:val="0"/>
          <w:lang w:val="en-US" w:eastAsia="zh-CN"/>
        </w:rPr>
        <w:t>b</w:t>
      </w:r>
      <w:r>
        <w:rPr>
          <w:rFonts w:hint="default"/>
          <w:b w:val="0"/>
          <w:bCs w:val="0"/>
          <w:lang w:val="en-US" w:eastAsia="zh-CN"/>
        </w:rPr>
        <w:t xml:space="preserve">) </w:t>
      </w:r>
      <w:r>
        <w:rPr>
          <w:rFonts w:hint="eastAsia"/>
          <w:b w:val="0"/>
          <w:bCs w:val="0"/>
          <w:lang w:val="en-US" w:eastAsia="zh-CN"/>
        </w:rPr>
        <w:t>Initial KRT</w:t>
      </w:r>
      <w:r>
        <w:rPr>
          <w:rFonts w:hint="default"/>
          <w:b w:val="0"/>
          <w:bCs w:val="0"/>
          <w:lang w:val="en-US" w:eastAsia="zh-CN"/>
        </w:rPr>
        <w:t>, (</w:t>
      </w:r>
      <w:r>
        <w:rPr>
          <w:rFonts w:hint="eastAsia"/>
          <w:b w:val="0"/>
          <w:bCs w:val="0"/>
          <w:lang w:val="en-US" w:eastAsia="zh-CN"/>
        </w:rPr>
        <w:t>c</w:t>
      </w:r>
      <w:r>
        <w:rPr>
          <w:rFonts w:hint="default"/>
          <w:b w:val="0"/>
          <w:bCs w:val="0"/>
          <w:lang w:val="en-US" w:eastAsia="zh-CN"/>
        </w:rPr>
        <w:t>)</w:t>
      </w:r>
      <w:r>
        <w:rPr>
          <w:rFonts w:hint="eastAsia"/>
          <w:b w:val="0"/>
          <w:bCs w:val="0"/>
          <w:lang w:val="en-US" w:eastAsia="zh-CN"/>
        </w:rPr>
        <w:t>Fibrous crescents(%)</w:t>
      </w:r>
      <w:r>
        <w:rPr>
          <w:rFonts w:hint="default"/>
          <w:b w:val="0"/>
          <w:bCs w:val="0"/>
          <w:lang w:val="en-US" w:eastAsia="zh-CN"/>
        </w:rPr>
        <w:t xml:space="preserve"> , (</w:t>
      </w:r>
      <w:r>
        <w:rPr>
          <w:rFonts w:hint="eastAsia"/>
          <w:b w:val="0"/>
          <w:bCs w:val="0"/>
          <w:lang w:val="en-US" w:eastAsia="zh-CN"/>
        </w:rPr>
        <w:t>d</w:t>
      </w:r>
      <w:r>
        <w:rPr>
          <w:rFonts w:hint="default"/>
          <w:b w:val="0"/>
          <w:bCs w:val="0"/>
          <w:lang w:val="en-US" w:eastAsia="zh-CN"/>
        </w:rPr>
        <w:t xml:space="preserve">) </w:t>
      </w:r>
      <w:r>
        <w:rPr>
          <w:rFonts w:hint="eastAsia"/>
          <w:b w:val="0"/>
          <w:bCs w:val="0"/>
          <w:lang w:val="en-US" w:eastAsia="zh-CN"/>
        </w:rPr>
        <w:t>Cr</w:t>
      </w:r>
      <w:r>
        <w:rPr>
          <w:rFonts w:hint="eastAsia"/>
        </w:rPr>
        <w:t>≥2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 xml:space="preserve">0 μmol/L </w:t>
      </w:r>
      <w:r>
        <w:rPr>
          <w:rFonts w:hint="eastAsia"/>
          <w:b w:val="0"/>
          <w:bCs w:val="0"/>
          <w:lang w:val="en-US" w:eastAsia="zh-CN"/>
        </w:rPr>
        <w:t xml:space="preserve">, (e)Interstitial inflammation.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(Note: The optimal cutoff value of Cr≥290 μmol/L was obtained by drawing the ROC curve</w:t>
      </w:r>
      <w:r>
        <w:rPr>
          <w:rFonts w:hint="eastAsia"/>
          <w:b w:val="0"/>
          <w:bCs w:val="0"/>
          <w:lang w:val="en-US" w:eastAsia="zh-CN"/>
        </w:rPr>
        <w:t>. Cr:creatinine</w:t>
      </w:r>
      <w:r>
        <w:rPr>
          <w:rFonts w:hint="eastAsia"/>
          <w:b w:val="0"/>
          <w:bCs w:val="0"/>
          <w:lang w:val="en-US" w:eastAsia="zh-CN"/>
        </w:rPr>
        <w:t>. KRT:kidney replacement therapy</w:t>
      </w:r>
      <w:r>
        <w:rPr>
          <w:rFonts w:hint="eastAsia"/>
          <w:b w:val="0"/>
          <w:bCs w:val="0"/>
          <w:lang w:val="en-US" w:eastAsia="zh-CN"/>
        </w:rPr>
        <w:t>)</w:t>
      </w:r>
      <w:bookmarkStart w:id="0" w:name="_GoBack"/>
      <w:bookmarkEnd w:id="0"/>
    </w:p>
    <w:p>
      <w:r>
        <w:drawing>
          <wp:inline distT="0" distB="0" distL="114300" distR="114300">
            <wp:extent cx="5272405" cy="3211830"/>
            <wp:effectExtent l="0" t="0" r="63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1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zMWI2ZGQwMGQ0OGZjNzAzYjk3ODNhNTAzYjUzMWMifQ=="/>
  </w:docVars>
  <w:rsids>
    <w:rsidRoot w:val="26193748"/>
    <w:rsid w:val="09E96A00"/>
    <w:rsid w:val="103C03B2"/>
    <w:rsid w:val="13DD5D2E"/>
    <w:rsid w:val="26193748"/>
    <w:rsid w:val="3A3D6ACB"/>
    <w:rsid w:val="3F07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2023-11-22T07:54:00Z</dcterms:created>
  <dc:creator>Dnq</dc:creator>
  <cp:lastModifiedBy>图图</cp:lastModifiedBy>
  <dcterms:modified xsi:type="dcterms:W3CDTF">2023-12-02T01:45:09Z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A129F0829320498D8688C97D7E171F56_11</vt:lpwstr>
  </property>
</Properties>
</file>