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DE0" w:rsidRPr="006F57D6" w:rsidRDefault="006F57D6" w:rsidP="00E16DE0">
      <w:pPr>
        <w:rPr>
          <w:rFonts w:ascii="Palatino Linotype" w:hAnsi="Palatino Linotype"/>
          <w:color w:val="000000" w:themeColor="text1"/>
          <w:sz w:val="20"/>
          <w:szCs w:val="20"/>
        </w:rPr>
      </w:pPr>
      <w:bookmarkStart w:id="0" w:name="_GoBack"/>
      <w:proofErr w:type="gramStart"/>
      <w:r w:rsidRPr="006F57D6">
        <w:rPr>
          <w:rStyle w:val="Vurgu"/>
          <w:rFonts w:ascii="Palatino Linotype" w:hAnsi="Palatino Linotype" w:cs="Arial"/>
          <w:bCs w:val="0"/>
          <w:iCs/>
          <w:color w:val="000000" w:themeColor="text1"/>
          <w:sz w:val="20"/>
          <w:szCs w:val="20"/>
          <w:shd w:val="clear" w:color="auto" w:fill="FFFFFF"/>
        </w:rPr>
        <w:t>Supplementary Table S3</w:t>
      </w:r>
      <w:bookmarkEnd w:id="0"/>
      <w:r w:rsidRPr="006F57D6">
        <w:rPr>
          <w:rFonts w:ascii="Palatino Linotype" w:hAnsi="Palatino Linotype"/>
          <w:color w:val="000000" w:themeColor="text1"/>
          <w:sz w:val="20"/>
          <w:szCs w:val="20"/>
        </w:rPr>
        <w:t>.</w:t>
      </w:r>
      <w:proofErr w:type="gramEnd"/>
      <w:r w:rsidRPr="006F57D6">
        <w:rPr>
          <w:rFonts w:ascii="Palatino Linotype" w:hAnsi="Palatino Linotype"/>
          <w:color w:val="000000" w:themeColor="text1"/>
          <w:sz w:val="20"/>
          <w:szCs w:val="20"/>
        </w:rPr>
        <w:t xml:space="preserve"> </w:t>
      </w:r>
      <w:r w:rsidRPr="006F57D6"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 xml:space="preserve">Comparison of basal </w:t>
      </w:r>
      <w:r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>e</w:t>
      </w:r>
      <w:r w:rsidRPr="006F57D6"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>xpression between</w:t>
      </w:r>
      <w:r w:rsidRPr="006F57D6">
        <w:rPr>
          <w:rStyle w:val="Vurgu"/>
          <w:rFonts w:ascii="Palatino Linotype" w:hAnsi="Palatino Linotype" w:cs="Times New Roman"/>
          <w:bCs w:val="0"/>
          <w:iCs/>
          <w:color w:val="000000" w:themeColor="text1"/>
          <w:sz w:val="20"/>
          <w:szCs w:val="20"/>
        </w:rPr>
        <w:t xml:space="preserve"> </w:t>
      </w:r>
      <w:r w:rsidRPr="006F57D6">
        <w:rPr>
          <w:rFonts w:ascii="Palatino Linotype" w:hAnsi="Palatino Linotype" w:cs="Times New Roman"/>
          <w:color w:val="000000" w:themeColor="text1"/>
          <w:sz w:val="20"/>
          <w:szCs w:val="20"/>
          <w:shd w:val="clear" w:color="auto" w:fill="FFFFFF"/>
        </w:rPr>
        <w:t>RG7388-sensitive and -resistant subgroups of CLL primary samples</w:t>
      </w:r>
      <w:r w:rsidRPr="006F57D6">
        <w:rPr>
          <w:rStyle w:val="Vurgu"/>
          <w:rFonts w:ascii="Palatino Linotype" w:hAnsi="Palatino Linotype" w:cs="Times New Roman"/>
          <w:bCs w:val="0"/>
          <w:iCs/>
          <w:color w:val="000000" w:themeColor="text1"/>
          <w:sz w:val="20"/>
          <w:szCs w:val="20"/>
        </w:rPr>
        <w:t xml:space="preserve"> </w:t>
      </w:r>
      <w:r w:rsidRPr="006F57D6"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 xml:space="preserve">for the top </w:t>
      </w:r>
      <w:r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>seventeen</w:t>
      </w:r>
      <w:r w:rsidRPr="006F57D6"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 xml:space="preserve"> genes based on </w:t>
      </w:r>
      <w:r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 xml:space="preserve">their </w:t>
      </w:r>
      <w:r w:rsidRPr="006F57D6">
        <w:rPr>
          <w:rStyle w:val="Vurgu"/>
          <w:rFonts w:ascii="Palatino Linotype" w:hAnsi="Palatino Linotype" w:cs="Times New Roman"/>
          <w:b w:val="0"/>
          <w:bCs w:val="0"/>
          <w:i/>
          <w:iCs/>
          <w:color w:val="000000" w:themeColor="text1"/>
          <w:sz w:val="20"/>
          <w:szCs w:val="20"/>
        </w:rPr>
        <w:t>p</w:t>
      </w:r>
      <w:r w:rsidRPr="006F57D6"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>-</w:t>
      </w:r>
      <w:proofErr w:type="spellStart"/>
      <w:r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>a</w:t>
      </w:r>
      <w:r w:rsidRPr="006F57D6"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>dj</w:t>
      </w:r>
      <w:proofErr w:type="spellEnd"/>
      <w:r w:rsidRPr="006F57D6">
        <w:rPr>
          <w:rStyle w:val="Vurgu"/>
          <w:rFonts w:ascii="Palatino Linotype" w:hAnsi="Palatino Linotype" w:cs="Times New Roman"/>
          <w:b w:val="0"/>
          <w:bCs w:val="0"/>
          <w:i/>
          <w:iCs/>
          <w:color w:val="000000" w:themeColor="text1"/>
          <w:sz w:val="20"/>
          <w:szCs w:val="20"/>
        </w:rPr>
        <w:t xml:space="preserve"> </w:t>
      </w:r>
      <w:r w:rsidRPr="006F57D6">
        <w:rPr>
          <w:rStyle w:val="Vurgu"/>
          <w:rFonts w:ascii="Palatino Linotype" w:hAnsi="Palatino Linotype" w:cs="Times New Roman"/>
          <w:b w:val="0"/>
          <w:bCs w:val="0"/>
          <w:iCs/>
          <w:color w:val="000000" w:themeColor="text1"/>
          <w:sz w:val="20"/>
          <w:szCs w:val="20"/>
        </w:rPr>
        <w:t>values.</w:t>
      </w:r>
    </w:p>
    <w:tbl>
      <w:tblPr>
        <w:tblStyle w:val="PlainTable11"/>
        <w:tblW w:w="8358" w:type="dxa"/>
        <w:tblLook w:val="04A0" w:firstRow="1" w:lastRow="0" w:firstColumn="1" w:lastColumn="0" w:noHBand="0" w:noVBand="1"/>
      </w:tblPr>
      <w:tblGrid>
        <w:gridCol w:w="1711"/>
        <w:gridCol w:w="4720"/>
        <w:gridCol w:w="1144"/>
        <w:gridCol w:w="783"/>
      </w:tblGrid>
      <w:tr w:rsidR="006F57D6" w:rsidRPr="006F57D6" w:rsidTr="006F57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jc w:val="center"/>
              <w:rPr>
                <w:rFonts w:ascii="Palatino Linotype" w:eastAsia="Times New Roman" w:hAnsi="Palatino Linotype"/>
                <w:color w:val="000000" w:themeColor="text1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lang w:eastAsia="en-GB"/>
              </w:rPr>
              <w:t>Gene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lang w:eastAsia="en-GB"/>
              </w:rPr>
              <w:t>Description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bCs w:val="0"/>
                <w:iCs/>
                <w:color w:val="000000" w:themeColor="text1"/>
                <w:vertAlign w:val="superscript"/>
                <w:lang w:eastAsia="en-GB"/>
              </w:rPr>
              <w:t>1</w:t>
            </w:r>
            <w:r w:rsidRPr="006F57D6">
              <w:rPr>
                <w:rFonts w:ascii="Palatino Linotype" w:eastAsia="Times New Roman" w:hAnsi="Palatino Linotype"/>
                <w:i/>
                <w:iCs/>
                <w:color w:val="000000" w:themeColor="text1"/>
                <w:lang w:eastAsia="en-GB"/>
              </w:rPr>
              <w:t>p</w:t>
            </w:r>
            <w:r w:rsidRPr="006F57D6">
              <w:rPr>
                <w:rFonts w:ascii="Palatino Linotype" w:eastAsia="Times New Roman" w:hAnsi="Palatino Linotype"/>
                <w:iCs/>
                <w:color w:val="000000" w:themeColor="text1"/>
                <w:lang w:eastAsia="en-GB"/>
              </w:rPr>
              <w:t>-</w:t>
            </w:r>
            <w:r>
              <w:rPr>
                <w:rFonts w:ascii="Palatino Linotype" w:eastAsia="Times New Roman" w:hAnsi="Palatino Linotype"/>
                <w:iCs/>
                <w:color w:val="000000" w:themeColor="text1"/>
                <w:lang w:eastAsia="en-GB"/>
              </w:rPr>
              <w:t>a</w:t>
            </w:r>
            <w:r w:rsidRPr="006F57D6">
              <w:rPr>
                <w:rFonts w:ascii="Palatino Linotype" w:eastAsia="Times New Roman" w:hAnsi="Palatino Linotype"/>
                <w:iCs/>
                <w:color w:val="000000" w:themeColor="text1"/>
                <w:lang w:eastAsia="en-GB"/>
              </w:rPr>
              <w:t>dj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bCs w:val="0"/>
                <w:color w:val="000000" w:themeColor="text1"/>
                <w:vertAlign w:val="superscript"/>
                <w:lang w:eastAsia="en-GB"/>
              </w:rPr>
              <w:t>2</w:t>
            </w:r>
            <w:r w:rsidRPr="006F57D6">
              <w:rPr>
                <w:rFonts w:ascii="Palatino Linotype" w:eastAsia="Times New Roman" w:hAnsi="Palatino Linotype"/>
                <w:color w:val="000000" w:themeColor="text1"/>
                <w:lang w:eastAsia="en-GB"/>
              </w:rPr>
              <w:t>FC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Cs w:val="20"/>
                <w:lang w:eastAsia="en-GB"/>
              </w:rPr>
              <w:t>E2F7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b/>
                <w:color w:val="000000" w:themeColor="text1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b/>
                <w:color w:val="000000" w:themeColor="text1"/>
                <w:szCs w:val="20"/>
                <w:lang w:eastAsia="en-GB"/>
              </w:rPr>
              <w:t>E2F transcription factor 7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b/>
                <w:color w:val="000000" w:themeColor="text1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b/>
                <w:color w:val="000000" w:themeColor="text1"/>
                <w:szCs w:val="20"/>
                <w:lang w:eastAsia="en-GB"/>
              </w:rPr>
              <w:t>0.00</w:t>
            </w:r>
            <w:r>
              <w:rPr>
                <w:rFonts w:ascii="Palatino Linotype" w:eastAsia="Times New Roman" w:hAnsi="Palatino Linotype"/>
                <w:b/>
                <w:color w:val="000000" w:themeColor="text1"/>
                <w:szCs w:val="20"/>
                <w:lang w:eastAsia="en-GB"/>
              </w:rPr>
              <w:t>14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b/>
                <w:color w:val="000000" w:themeColor="text1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b/>
                <w:color w:val="000000" w:themeColor="text1"/>
                <w:szCs w:val="20"/>
                <w:lang w:eastAsia="en-GB"/>
              </w:rPr>
              <w:t>3.1</w:t>
            </w:r>
          </w:p>
        </w:tc>
      </w:tr>
      <w:tr w:rsidR="006F57D6" w:rsidRPr="006F57D6" w:rsidTr="006F57D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USP14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ubiquitin specific peptidase 14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0.0228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1.6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YIPF4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Yip1 domain family member 4 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0.0263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1.5</w:t>
            </w:r>
          </w:p>
        </w:tc>
      </w:tr>
      <w:tr w:rsidR="006F57D6" w:rsidRPr="006F57D6" w:rsidTr="006F57D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ANKRD6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ankyrin</w:t>
            </w:r>
            <w:proofErr w:type="spellEnd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 repeat domain 6 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0.0684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0.6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NRCAM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neuronal cell adhesion molecule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0.0685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5.9</w:t>
            </w:r>
          </w:p>
        </w:tc>
      </w:tr>
      <w:tr w:rsidR="006F57D6" w:rsidRPr="006F57D6" w:rsidTr="006F57D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PAIP1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poly(A) binding protein interacting protein 1 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0.0904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C1RL-AS1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C1RL antisense RNA 1 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0.1297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0.8</w:t>
            </w:r>
          </w:p>
        </w:tc>
      </w:tr>
      <w:tr w:rsidR="006F57D6" w:rsidRPr="006F57D6" w:rsidTr="006F57D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NOS3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nitric oxide synthase 3 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0.1626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0.3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CEP170B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centrosomal</w:t>
            </w:r>
            <w:proofErr w:type="spellEnd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 protein 170B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0.2223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5.1</w:t>
            </w:r>
          </w:p>
        </w:tc>
      </w:tr>
      <w:tr w:rsidR="006F57D6" w:rsidRPr="006F57D6" w:rsidTr="006F57D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CC2D1B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coiled-coil and C2 domain containing 1B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0.2688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0.9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ZNF778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zinc finger protein 778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0.2963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0.8</w:t>
            </w:r>
          </w:p>
        </w:tc>
      </w:tr>
      <w:tr w:rsidR="006F57D6" w:rsidRPr="006F57D6" w:rsidTr="006F57D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TSPAN32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tetraspanin</w:t>
            </w:r>
            <w:proofErr w:type="spellEnd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 32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0.3038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0.3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TICAM2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toll like receptor adaptor molecule 2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0.4325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0.4</w:t>
            </w:r>
          </w:p>
        </w:tc>
      </w:tr>
      <w:tr w:rsidR="006F57D6" w:rsidRPr="006F57D6" w:rsidTr="006F57D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GOLGA8G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golgin</w:t>
            </w:r>
            <w:proofErr w:type="spellEnd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 A8 family member G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0.4537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1.5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TBC1D27P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TBC1 domain family member 27, </w:t>
            </w:r>
            <w:proofErr w:type="spellStart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pseudogene</w:t>
            </w:r>
            <w:proofErr w:type="spellEnd"/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0.5807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0.7</w:t>
            </w:r>
          </w:p>
        </w:tc>
      </w:tr>
      <w:tr w:rsidR="006F57D6" w:rsidRPr="006F57D6" w:rsidTr="006F57D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SPEN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spen</w:t>
            </w:r>
            <w:proofErr w:type="spellEnd"/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 family transcriptional repressor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0.6481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1.1</w:t>
            </w:r>
          </w:p>
        </w:tc>
      </w:tr>
      <w:tr w:rsidR="006F57D6" w:rsidRPr="006F57D6" w:rsidTr="006F5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i/>
                <w:color w:val="000000" w:themeColor="text1"/>
                <w:sz w:val="20"/>
                <w:szCs w:val="20"/>
                <w:lang w:eastAsia="en-GB"/>
              </w:rPr>
              <w:t>SH3BP2</w:t>
            </w:r>
          </w:p>
        </w:tc>
        <w:tc>
          <w:tcPr>
            <w:tcW w:w="4720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 xml:space="preserve">SH3 domain binding protein 2 </w:t>
            </w:r>
          </w:p>
        </w:tc>
        <w:tc>
          <w:tcPr>
            <w:tcW w:w="1144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0.9147</w:t>
            </w:r>
          </w:p>
        </w:tc>
        <w:tc>
          <w:tcPr>
            <w:tcW w:w="783" w:type="dxa"/>
            <w:noWrap/>
            <w:hideMark/>
          </w:tcPr>
          <w:p w:rsidR="006F57D6" w:rsidRPr="006F57D6" w:rsidRDefault="006F57D6" w:rsidP="006F57D6">
            <w:pPr>
              <w:pStyle w:val="AralkYok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</w:pPr>
            <w:r w:rsidRPr="006F57D6">
              <w:rPr>
                <w:rFonts w:ascii="Palatino Linotype" w:eastAsia="Times New Roman" w:hAnsi="Palatino Linotype"/>
                <w:color w:val="000000" w:themeColor="text1"/>
                <w:sz w:val="20"/>
                <w:szCs w:val="20"/>
                <w:lang w:eastAsia="en-GB"/>
              </w:rPr>
              <w:t>1.0</w:t>
            </w:r>
          </w:p>
        </w:tc>
      </w:tr>
      <w:tr w:rsidR="006F57D6" w:rsidRPr="006F57D6" w:rsidTr="006F57D6">
        <w:trPr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  <w:gridSpan w:val="4"/>
            <w:shd w:val="clear" w:color="auto" w:fill="auto"/>
            <w:noWrap/>
          </w:tcPr>
          <w:p w:rsidR="006F57D6" w:rsidRPr="006F57D6" w:rsidRDefault="006F57D6" w:rsidP="006F57D6">
            <w:pPr>
              <w:pStyle w:val="AralkYok"/>
              <w:spacing w:line="276" w:lineRule="auto"/>
              <w:rPr>
                <w:rFonts w:ascii="Palatino Linotype" w:hAnsi="Palatino Linotype"/>
                <w:b w:val="0"/>
                <w:color w:val="000000" w:themeColor="text1"/>
                <w:sz w:val="18"/>
                <w:szCs w:val="20"/>
              </w:rPr>
            </w:pPr>
            <w:r w:rsidRPr="006F57D6">
              <w:rPr>
                <w:rFonts w:ascii="Palatino Linotype" w:hAnsi="Palatino Linotype"/>
                <w:b w:val="0"/>
                <w:color w:val="000000" w:themeColor="text1"/>
                <w:sz w:val="18"/>
                <w:szCs w:val="20"/>
                <w:vertAlign w:val="superscript"/>
              </w:rPr>
              <w:t>1</w:t>
            </w:r>
            <w:r w:rsidRPr="006F57D6">
              <w:rPr>
                <w:rFonts w:ascii="Palatino Linotype" w:hAnsi="Palatino Linotype"/>
                <w:b w:val="0"/>
                <w:i/>
                <w:color w:val="000000" w:themeColor="text1"/>
                <w:sz w:val="18"/>
                <w:szCs w:val="20"/>
              </w:rPr>
              <w:t>p</w:t>
            </w:r>
            <w:r w:rsidRPr="006F57D6">
              <w:rPr>
                <w:rFonts w:ascii="Palatino Linotype" w:hAnsi="Palatino Linotype"/>
                <w:b w:val="0"/>
                <w:color w:val="000000" w:themeColor="text1"/>
                <w:sz w:val="18"/>
                <w:szCs w:val="20"/>
              </w:rPr>
              <w:t>-adj values of multiple t-test using Holm-</w:t>
            </w:r>
            <w:proofErr w:type="spellStart"/>
            <w:r w:rsidRPr="006F57D6">
              <w:rPr>
                <w:rFonts w:ascii="Palatino Linotype" w:hAnsi="Palatino Linotype"/>
                <w:b w:val="0"/>
                <w:color w:val="000000" w:themeColor="text1"/>
                <w:sz w:val="18"/>
                <w:szCs w:val="20"/>
              </w:rPr>
              <w:t>Sidak</w:t>
            </w:r>
            <w:proofErr w:type="spellEnd"/>
            <w:r w:rsidRPr="006F57D6">
              <w:rPr>
                <w:rFonts w:ascii="Palatino Linotype" w:hAnsi="Palatino Linotype"/>
                <w:b w:val="0"/>
                <w:color w:val="000000" w:themeColor="text1"/>
                <w:sz w:val="18"/>
                <w:szCs w:val="20"/>
              </w:rPr>
              <w:t xml:space="preserve"> method. </w:t>
            </w:r>
            <w:r w:rsidRPr="006F57D6">
              <w:rPr>
                <w:rFonts w:ascii="Palatino Linotype" w:hAnsi="Palatino Linotype"/>
                <w:b w:val="0"/>
                <w:color w:val="000000" w:themeColor="text1"/>
                <w:sz w:val="18"/>
                <w:szCs w:val="20"/>
                <w:vertAlign w:val="superscript"/>
              </w:rPr>
              <w:t>2</w:t>
            </w:r>
            <w:r w:rsidRPr="006F57D6">
              <w:rPr>
                <w:rFonts w:ascii="Palatino Linotype" w:hAnsi="Palatino Linotype"/>
                <w:b w:val="0"/>
                <w:color w:val="000000" w:themeColor="text1"/>
                <w:sz w:val="18"/>
                <w:szCs w:val="20"/>
              </w:rPr>
              <w:t xml:space="preserve">FC: fold change. The ratio of basal gene expression between RG7388-sensitive (n=6) and resistant (n=6) subgroups of p53-functional primary CLL samples (sensitive/resistant). </w:t>
            </w:r>
          </w:p>
        </w:tc>
      </w:tr>
    </w:tbl>
    <w:p w:rsidR="00E618DB" w:rsidRDefault="00E618DB"/>
    <w:sectPr w:rsidR="00E618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2C"/>
    <w:rsid w:val="0021392C"/>
    <w:rsid w:val="002532FF"/>
    <w:rsid w:val="00333E35"/>
    <w:rsid w:val="003E6ABA"/>
    <w:rsid w:val="006F57D6"/>
    <w:rsid w:val="0072123A"/>
    <w:rsid w:val="00722100"/>
    <w:rsid w:val="009976AD"/>
    <w:rsid w:val="009A0D16"/>
    <w:rsid w:val="00CD56CD"/>
    <w:rsid w:val="00E16DE0"/>
    <w:rsid w:val="00E6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userr</dc:creator>
  <cp:keywords/>
  <dc:description/>
  <cp:lastModifiedBy>userr</cp:lastModifiedBy>
  <cp:revision>6</cp:revision>
  <dcterms:created xsi:type="dcterms:W3CDTF">2023-12-20T12:21:00Z</dcterms:created>
  <dcterms:modified xsi:type="dcterms:W3CDTF">2024-01-22T13:15:00Z</dcterms:modified>
</cp:coreProperties>
</file>