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6AD" w:rsidRPr="009976AD" w:rsidRDefault="009976AD" w:rsidP="009976AD">
      <w:pPr>
        <w:rPr>
          <w:rFonts w:ascii="Palatino Linotype" w:hAnsi="Palatino Linotype"/>
          <w:b/>
          <w:color w:val="000000" w:themeColor="text1"/>
          <w:sz w:val="20"/>
          <w:szCs w:val="20"/>
        </w:rPr>
      </w:pPr>
      <w:bookmarkStart w:id="0" w:name="_GoBack"/>
      <w:proofErr w:type="gramStart"/>
      <w:r w:rsidRPr="009976AD">
        <w:rPr>
          <w:rStyle w:val="Vurgu"/>
          <w:rFonts w:ascii="Palatino Linotype" w:hAnsi="Palatino Linotype" w:cs="Arial"/>
          <w:bCs w:val="0"/>
          <w:iCs/>
          <w:color w:val="000000" w:themeColor="text1"/>
          <w:sz w:val="20"/>
          <w:szCs w:val="20"/>
          <w:shd w:val="clear" w:color="auto" w:fill="FFFFFF"/>
        </w:rPr>
        <w:t>Supplementary Table S</w:t>
      </w:r>
      <w:r>
        <w:rPr>
          <w:rStyle w:val="Vurgu"/>
          <w:rFonts w:ascii="Palatino Linotype" w:hAnsi="Palatino Linotype" w:cs="Arial"/>
          <w:bCs w:val="0"/>
          <w:iCs/>
          <w:color w:val="000000" w:themeColor="text1"/>
          <w:sz w:val="20"/>
          <w:szCs w:val="20"/>
          <w:shd w:val="clear" w:color="auto" w:fill="FFFFFF"/>
        </w:rPr>
        <w:t>2</w:t>
      </w:r>
      <w:bookmarkEnd w:id="0"/>
      <w:r w:rsidRPr="009976AD">
        <w:rPr>
          <w:rFonts w:ascii="Palatino Linotype" w:hAnsi="Palatino Linotype"/>
          <w:b/>
          <w:color w:val="000000" w:themeColor="text1"/>
          <w:sz w:val="20"/>
          <w:szCs w:val="20"/>
        </w:rPr>
        <w:t>.</w:t>
      </w:r>
      <w:proofErr w:type="gramEnd"/>
      <w:r w:rsidRPr="009976AD">
        <w:rPr>
          <w:rFonts w:ascii="Palatino Linotype" w:hAnsi="Palatino Linotype"/>
          <w:b/>
          <w:color w:val="000000" w:themeColor="text1"/>
          <w:sz w:val="20"/>
          <w:szCs w:val="20"/>
        </w:rPr>
        <w:t xml:space="preserve"> </w:t>
      </w:r>
      <w:proofErr w:type="gramStart"/>
      <w:r w:rsidRPr="009976AD">
        <w:rPr>
          <w:rFonts w:ascii="Palatino Linotype" w:hAnsi="Palatino Linotype"/>
          <w:color w:val="000000" w:themeColor="text1"/>
          <w:sz w:val="20"/>
          <w:szCs w:val="20"/>
        </w:rPr>
        <w:t xml:space="preserve">Up-regulated genes in CLL primary samples </w:t>
      </w:r>
      <w:r>
        <w:rPr>
          <w:rFonts w:ascii="Palatino Linotype" w:hAnsi="Palatino Linotype"/>
          <w:color w:val="000000" w:themeColor="text1"/>
          <w:sz w:val="20"/>
          <w:szCs w:val="20"/>
        </w:rPr>
        <w:t>resistant</w:t>
      </w:r>
      <w:r w:rsidRPr="009976AD">
        <w:rPr>
          <w:rFonts w:ascii="Palatino Linotype" w:hAnsi="Palatino Linotype"/>
          <w:color w:val="000000" w:themeColor="text1"/>
          <w:sz w:val="20"/>
          <w:szCs w:val="20"/>
        </w:rPr>
        <w:t xml:space="preserve"> to RG7388 (comparison between 1 µM RG7388 treated vs. DMSO control).</w:t>
      </w:r>
      <w:proofErr w:type="gramEnd"/>
    </w:p>
    <w:tbl>
      <w:tblPr>
        <w:tblStyle w:val="PlainTable11"/>
        <w:tblW w:w="8897" w:type="dxa"/>
        <w:tblLook w:val="04A0" w:firstRow="1" w:lastRow="0" w:firstColumn="1" w:lastColumn="0" w:noHBand="0" w:noVBand="1"/>
      </w:tblPr>
      <w:tblGrid>
        <w:gridCol w:w="1328"/>
        <w:gridCol w:w="5017"/>
        <w:gridCol w:w="709"/>
        <w:gridCol w:w="1270"/>
        <w:gridCol w:w="573"/>
      </w:tblGrid>
      <w:tr w:rsidR="00333E35" w:rsidRPr="00333E35" w:rsidTr="009976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Gene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Description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  <w:vertAlign w:val="superscript"/>
              </w:rPr>
              <w:t>1</w:t>
            </w: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FC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333E35" w:rsidP="009976A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Cs w:val="20"/>
              </w:rPr>
              <w:t>p</w:t>
            </w:r>
            <w:r w:rsidR="00E16DE0"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-</w:t>
            </w:r>
            <w:proofErr w:type="spellStart"/>
            <w:r w:rsidR="00E16DE0"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Adj</w:t>
            </w:r>
            <w:proofErr w:type="spellEnd"/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  <w:vertAlign w:val="superscript"/>
              </w:rPr>
              <w:t>2</w:t>
            </w: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RS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PHLDA3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pleckstrin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homology like domain family A member 3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11.7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2.28E-08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EDA2R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ectodysplasin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A2 receptor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7.5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1.02E-08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MIR34AHG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MIR34A host gene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6.5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2.50E-23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FDXR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ferredoxin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reductase</w:t>
            </w:r>
            <w:proofErr w:type="spellEnd"/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6.4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2.82E-09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BBC3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BCL2 binding component 3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5.2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4.12E-07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MDM2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MDM2 proto-oncogene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5.56E-10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15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AEN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apoptosis enhancing nuclease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2.78E-09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CDKN1A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cyclin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dependent kinase inhibitor 1A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0.00084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16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PVT1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Pvt1 oncogene (non-protein coding)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2.9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0.0014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PHPT1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phosphohistidine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phosphatase 1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4.68E-11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SESN1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sestrin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1.17E-18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PLXNB2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plexin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B2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1.17E-18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ACTA2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actin, alpha 2, smooth muscle, aorta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1.29E-08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RPS27L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ribosomal protein S27 like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5.14E-14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TNFRSF10B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TNF receptor superfamily member 10b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6.48E-06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CD70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CD70 molecule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1.17E-18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DDB2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damage specific DNA binding protein 2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3.59E-11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13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BCL2 associated X, apoptosis regulator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3.16E-16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APOBEC3H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apolipoprotein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B mRNA editing enzyme catalytic subunit 3H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0.0002</w:t>
            </w:r>
            <w:r w:rsidR="00333E35"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TRIAP1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TP53 regulated inhibitor of apoptosis 1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2.3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2.69E-12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TRIM22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tripartite motif containing 22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5.27E-13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TNFRSF10D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TNF receptor superfamily member 10d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2.1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1.53E-08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OXER1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oxoeicosanoid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receptor 1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0.01</w:t>
            </w:r>
            <w:r w:rsidR="00333E35"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TP53INP1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tumour protein p53 inducible nuclear protein 1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2.62E-13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CCNG1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cyclin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G1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8.42E-38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POLH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DNA polymerase eta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0.0004</w:t>
            </w:r>
            <w:r w:rsidR="00333E35"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OR52N4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olfactory receptor family 52 subfamily N member 4 (gene/</w:t>
            </w: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pseudogene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0.0057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9976AD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lastRenderedPageBreak/>
              <w:t>INKA2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family with sequence similarity 212 member B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5.18E-05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ASCC3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activating signal </w:t>
            </w: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cointegrator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1 complex subunit 3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1.61E-08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FAS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Fas cell surface death receptor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0.00033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ZMAT3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zinc finger </w:t>
            </w: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matrin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-type 3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7.85E-06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TNFSF9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TNF superfamily member 9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0.0032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XPC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XPC complex subunit, DNA damage recognition and repair factor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5.14E-14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FBXO22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F-box protein 22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0.004</w:t>
            </w:r>
            <w:r w:rsidR="00333E35"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ZNF79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zinc finger protein 79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4.98E-07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9976AD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TMT1B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methyltransferase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like 7A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4.04E-09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PCNA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proliferating cell nuclear antigen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0.00011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DRAM1</w:t>
            </w:r>
          </w:p>
        </w:tc>
        <w:tc>
          <w:tcPr>
            <w:tcW w:w="5017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DNA damage regulated autophagy modulator1</w:t>
            </w:r>
          </w:p>
        </w:tc>
        <w:tc>
          <w:tcPr>
            <w:tcW w:w="709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270" w:type="dxa"/>
            <w:noWrap/>
            <w:vAlign w:val="center"/>
            <w:hideMark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0.001</w:t>
            </w:r>
            <w:r w:rsidR="00333E35"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73" w:type="dxa"/>
            <w:vAlign w:val="center"/>
          </w:tcPr>
          <w:p w:rsidR="00E16DE0" w:rsidRPr="00333E35" w:rsidRDefault="00E16DE0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IKBIP</w:t>
            </w:r>
          </w:p>
        </w:tc>
        <w:tc>
          <w:tcPr>
            <w:tcW w:w="5017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IKBKB interacting protein</w:t>
            </w:r>
          </w:p>
        </w:tc>
        <w:tc>
          <w:tcPr>
            <w:tcW w:w="709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270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1,07E-07</w:t>
            </w:r>
          </w:p>
        </w:tc>
        <w:tc>
          <w:tcPr>
            <w:tcW w:w="573" w:type="dxa"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ACER2</w:t>
            </w:r>
          </w:p>
        </w:tc>
        <w:tc>
          <w:tcPr>
            <w:tcW w:w="5017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alkaline </w:t>
            </w: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ceramidase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709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0" w:type="dxa"/>
            <w:noWrap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0,049</w:t>
            </w:r>
          </w:p>
        </w:tc>
        <w:tc>
          <w:tcPr>
            <w:tcW w:w="573" w:type="dxa"/>
            <w:vAlign w:val="center"/>
          </w:tcPr>
          <w:p w:rsidR="00722100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PPM1D</w:t>
            </w:r>
          </w:p>
        </w:tc>
        <w:tc>
          <w:tcPr>
            <w:tcW w:w="5017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protein phosphatase, Mg2+/Mn2+ dependent 1D</w:t>
            </w:r>
          </w:p>
        </w:tc>
        <w:tc>
          <w:tcPr>
            <w:tcW w:w="709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0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0,00039</w:t>
            </w:r>
          </w:p>
        </w:tc>
        <w:tc>
          <w:tcPr>
            <w:tcW w:w="573" w:type="dxa"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DENND2D</w:t>
            </w:r>
          </w:p>
        </w:tc>
        <w:tc>
          <w:tcPr>
            <w:tcW w:w="5017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DENN domain containing 2D</w:t>
            </w:r>
          </w:p>
        </w:tc>
        <w:tc>
          <w:tcPr>
            <w:tcW w:w="709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0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0,000011</w:t>
            </w:r>
          </w:p>
        </w:tc>
        <w:tc>
          <w:tcPr>
            <w:tcW w:w="573" w:type="dxa"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333E35" w:rsidRPr="00333E35" w:rsidTr="00997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TIGAR</w:t>
            </w:r>
          </w:p>
        </w:tc>
        <w:tc>
          <w:tcPr>
            <w:tcW w:w="5017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TP53 induced glycolysis regulatory phosphatase</w:t>
            </w:r>
          </w:p>
        </w:tc>
        <w:tc>
          <w:tcPr>
            <w:tcW w:w="709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hAnsi="Palatino Linotype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0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0,001</w:t>
            </w:r>
          </w:p>
        </w:tc>
        <w:tc>
          <w:tcPr>
            <w:tcW w:w="573" w:type="dxa"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14</w:t>
            </w:r>
          </w:p>
        </w:tc>
      </w:tr>
      <w:tr w:rsidR="00333E35" w:rsidRPr="00333E35" w:rsidTr="009976A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NDUFAF8</w:t>
            </w:r>
          </w:p>
        </w:tc>
        <w:tc>
          <w:tcPr>
            <w:tcW w:w="5017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NADH:ubiquinone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oxidoreductase</w:t>
            </w:r>
            <w:proofErr w:type="spellEnd"/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complex assembly factor 8</w:t>
            </w:r>
          </w:p>
        </w:tc>
        <w:tc>
          <w:tcPr>
            <w:tcW w:w="709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0" w:type="dxa"/>
            <w:noWrap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0,006</w:t>
            </w:r>
          </w:p>
        </w:tc>
        <w:tc>
          <w:tcPr>
            <w:tcW w:w="573" w:type="dxa"/>
            <w:vAlign w:val="center"/>
          </w:tcPr>
          <w:p w:rsidR="00333E35" w:rsidRPr="00333E35" w:rsidRDefault="00333E35" w:rsidP="009976AD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333E35" w:rsidRPr="00333E35" w:rsidTr="00333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7" w:type="dxa"/>
            <w:gridSpan w:val="5"/>
            <w:noWrap/>
          </w:tcPr>
          <w:p w:rsidR="00E16DE0" w:rsidRPr="00333E35" w:rsidRDefault="00722100" w:rsidP="00333E35">
            <w:pPr>
              <w:keepNext/>
              <w:spacing w:line="240" w:lineRule="auto"/>
              <w:rPr>
                <w:rFonts w:ascii="Palatino Linotype" w:eastAsia="Times New Roman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333E35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333E35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FC</w:t>
            </w:r>
            <w:r w:rsidRPr="00333E35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 xml:space="preserve">: Fold Change. </w:t>
            </w:r>
            <w:r w:rsidRPr="00333E35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33E35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RS</w:t>
            </w:r>
            <w:r w:rsidRPr="00333E35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 xml:space="preserve">: Regulation Score. </w:t>
            </w:r>
            <w:r w:rsidRPr="00333E35">
              <w:rPr>
                <w:rFonts w:ascii="Palatino Linotype" w:hAnsi="Palatino Linotype" w:cs="Times New Roman"/>
                <w:b w:val="0"/>
                <w:bCs w:val="0"/>
                <w:color w:val="000000" w:themeColor="text1"/>
                <w:spacing w:val="3"/>
                <w:sz w:val="20"/>
                <w:szCs w:val="20"/>
              </w:rPr>
              <w:t xml:space="preserve">The number of genome-wide data sets (out of 16) in which the corresponding gene has been identified as an activated p53 target </w:t>
            </w:r>
            <w:r w:rsidRPr="00333E35">
              <w:rPr>
                <w:rFonts w:ascii="Palatino Linotype" w:hAnsi="Palatino Linotype" w:cs="Times New Roman"/>
                <w:color w:val="000000" w:themeColor="text1"/>
                <w:spacing w:val="3"/>
                <w:sz w:val="20"/>
                <w:szCs w:val="20"/>
              </w:rPr>
              <w:fldChar w:fldCharType="begin"/>
            </w:r>
            <w:r w:rsidRPr="00333E35">
              <w:rPr>
                <w:rFonts w:ascii="Palatino Linotype" w:hAnsi="Palatino Linotype" w:cs="Times New Roman"/>
                <w:b w:val="0"/>
                <w:bCs w:val="0"/>
                <w:color w:val="000000" w:themeColor="text1"/>
                <w:spacing w:val="3"/>
                <w:sz w:val="20"/>
                <w:szCs w:val="20"/>
              </w:rPr>
              <w:instrText xml:space="preserve"> ADDIN EN.CITE &lt;EndNote&gt;&lt;Cite&gt;&lt;Author&gt;Fischer&lt;/Author&gt;&lt;Year&gt;2017&lt;/Year&gt;&lt;RecNum&gt;2867&lt;/RecNum&gt;&lt;DisplayText&gt;(Fischer 2017)&lt;/DisplayText&gt;&lt;record&gt;&lt;rec-number&gt;2867&lt;/rec-number&gt;&lt;foreign-keys&gt;&lt;key app="EN" db-id="wpazt90x1vset2e525ip2afcstp2x2pa2zsv" timestamp="1556545097"&gt;2867&lt;/key&gt;&lt;/foreign-keys&gt;&lt;ref-type name="Journal Article"&gt;17&lt;/ref-type&gt;&lt;contributors&gt;&lt;authors&gt;&lt;author&gt;Fischer, M.&lt;/author&gt;&lt;/authors&gt;&lt;/contributors&gt;&lt;auth-address&gt;Molecular Oncology, Medical School, University of Leipzig, Leipzig, Germany.&amp;#xD;Department of Medical Oncology, Dana-Farber Cancer Institute, Boston, MA, USA.&amp;#xD;Department of Medicine, Brigham and Women&amp;apos;s Hospital, Harvard Medical School, Boston, MA, USA.&lt;/auth-address&gt;&lt;titles&gt;&lt;title&gt;Census and evaluation of p53 target genes&lt;/title&gt;&lt;secondary-title&gt;Oncogene&lt;/secondary-title&gt;&lt;/titles&gt;&lt;periodical&gt;&lt;full-title&gt;Oncogene&lt;/full-title&gt;&lt;/periodical&gt;&lt;pages&gt;3943-3956&lt;/pages&gt;&lt;volume&gt;36&lt;/volume&gt;&lt;number&gt;28&lt;/number&gt;&lt;keywords&gt;&lt;keyword&gt;Animals&lt;/keyword&gt;&lt;keyword&gt;Gene Expression Profiling/*statistics &amp;amp; numerical data&lt;/keyword&gt;&lt;keyword&gt;*Gene Expression Regulation&lt;/keyword&gt;&lt;keyword&gt;Genetic Association Studies/*statistics &amp;amp; numerical data&lt;/keyword&gt;&lt;keyword&gt;High-Throughput Screening Assays/*statistics &amp;amp; numerical data&lt;/keyword&gt;&lt;keyword&gt;Humans&lt;/keyword&gt;&lt;keyword&gt;Meta-Analysis as Topic&lt;/keyword&gt;&lt;keyword&gt;Mutation&lt;/keyword&gt;&lt;keyword&gt;Tumor Suppressor Protein p53/*physiology&lt;/keyword&gt;&lt;/keywords&gt;&lt;dates&gt;&lt;year&gt;2017&lt;/year&gt;&lt;pub-dates&gt;&lt;date&gt;Jul 13&lt;/date&gt;&lt;/pub-dates&gt;&lt;/dates&gt;&lt;isbn&gt;1476-5594 (Electronic)&amp;#xD;0950-9232 (Linking)&lt;/isbn&gt;&lt;accession-num&gt;28288132&lt;/accession-num&gt;&lt;urls&gt;&lt;related-urls&gt;&lt;url&gt;http://www.ncbi.nlm.nih.gov/pubmed/28288132&lt;/url&gt;&lt;/related-urls&gt;&lt;/urls&gt;&lt;custom2&gt;PMC5511239&lt;/custom2&gt;&lt;electronic-resource-num&gt;10.1038/onc.2016.502&lt;/electronic-resource-num&gt;&lt;/record&gt;&lt;/Cite&gt;&lt;/EndNote&gt;</w:instrText>
            </w:r>
            <w:r w:rsidRPr="00333E35">
              <w:rPr>
                <w:rFonts w:ascii="Palatino Linotype" w:hAnsi="Palatino Linotype" w:cs="Times New Roman"/>
                <w:color w:val="000000" w:themeColor="text1"/>
                <w:spacing w:val="3"/>
                <w:sz w:val="20"/>
                <w:szCs w:val="20"/>
              </w:rPr>
              <w:fldChar w:fldCharType="separate"/>
            </w:r>
            <w:r w:rsidRPr="00333E35">
              <w:rPr>
                <w:rFonts w:ascii="Palatino Linotype" w:hAnsi="Palatino Linotype" w:cs="Times New Roman"/>
                <w:b w:val="0"/>
                <w:bCs w:val="0"/>
                <w:noProof/>
                <w:color w:val="000000" w:themeColor="text1"/>
                <w:spacing w:val="3"/>
                <w:sz w:val="20"/>
                <w:szCs w:val="20"/>
              </w:rPr>
              <w:t>(Fischer 2017)</w:t>
            </w:r>
            <w:r w:rsidRPr="00333E35">
              <w:rPr>
                <w:rFonts w:ascii="Palatino Linotype" w:hAnsi="Palatino Linotype" w:cs="Times New Roman"/>
                <w:color w:val="000000" w:themeColor="text1"/>
                <w:spacing w:val="3"/>
                <w:sz w:val="20"/>
                <w:szCs w:val="20"/>
              </w:rPr>
              <w:fldChar w:fldCharType="end"/>
            </w:r>
            <w:r w:rsidRPr="00333E35">
              <w:rPr>
                <w:rFonts w:ascii="Palatino Linotype" w:hAnsi="Palatino Linotype" w:cs="Times New Roman"/>
                <w:b w:val="0"/>
                <w:bCs w:val="0"/>
                <w:color w:val="000000" w:themeColor="text1"/>
                <w:spacing w:val="3"/>
                <w:sz w:val="20"/>
                <w:szCs w:val="20"/>
              </w:rPr>
              <w:t>.</w:t>
            </w:r>
          </w:p>
        </w:tc>
      </w:tr>
    </w:tbl>
    <w:p w:rsidR="006F57D6" w:rsidRDefault="006F57D6" w:rsidP="00E16DE0">
      <w:pPr>
        <w:rPr>
          <w:rStyle w:val="Vurgu"/>
          <w:rFonts w:ascii="Palatino Linotype" w:hAnsi="Palatino Linotype" w:cs="Arial"/>
          <w:bCs w:val="0"/>
          <w:iCs/>
          <w:color w:val="000000" w:themeColor="text1"/>
          <w:sz w:val="20"/>
          <w:szCs w:val="20"/>
          <w:shd w:val="clear" w:color="auto" w:fill="FFFFFF"/>
        </w:rPr>
      </w:pPr>
    </w:p>
    <w:sectPr w:rsidR="006F57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2C"/>
    <w:rsid w:val="0021392C"/>
    <w:rsid w:val="002532FF"/>
    <w:rsid w:val="00333E35"/>
    <w:rsid w:val="006F57D6"/>
    <w:rsid w:val="0072123A"/>
    <w:rsid w:val="00722100"/>
    <w:rsid w:val="009976AD"/>
    <w:rsid w:val="009A0D16"/>
    <w:rsid w:val="00A15FA7"/>
    <w:rsid w:val="00CD56CD"/>
    <w:rsid w:val="00E16DE0"/>
    <w:rsid w:val="00E6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</dc:creator>
  <cp:keywords/>
  <dc:description/>
  <cp:lastModifiedBy>userr</cp:lastModifiedBy>
  <cp:revision>6</cp:revision>
  <dcterms:created xsi:type="dcterms:W3CDTF">2023-12-20T12:21:00Z</dcterms:created>
  <dcterms:modified xsi:type="dcterms:W3CDTF">2024-01-22T13:14:00Z</dcterms:modified>
</cp:coreProperties>
</file>