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Supplementary Table S3. Statistics of peripheral blood cell 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nalysis in children with COVID-19.</w:t>
      </w:r>
    </w:p>
    <w:p>
      <w:pPr>
        <w:jc w:val="center"/>
        <w:rPr>
          <w:sz w:val="24"/>
          <w:szCs w:val="24"/>
        </w:rPr>
      </w:pPr>
    </w:p>
    <w:p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tbl>
      <w:tblPr>
        <w:tblStyle w:val="2"/>
        <w:tblW w:w="14974" w:type="dxa"/>
        <w:tblInd w:w="13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98"/>
        <w:gridCol w:w="1644"/>
        <w:gridCol w:w="1380"/>
        <w:gridCol w:w="1596"/>
        <w:gridCol w:w="1716"/>
        <w:gridCol w:w="1932"/>
        <w:gridCol w:w="1860"/>
        <w:gridCol w:w="1046"/>
        <w:gridCol w:w="110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98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620" w:type="dxa"/>
            <w:gridSpan w:val="3"/>
            <w:tcBorders>
              <w:top w:val="single" w:color="auto" w:sz="8" w:space="0"/>
              <w:left w:val="nil"/>
              <w:bottom w:val="nil"/>
              <w:right w:val="single" w:color="FFFFFF" w:sz="2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Trend</w:t>
            </w:r>
          </w:p>
        </w:tc>
        <w:tc>
          <w:tcPr>
            <w:tcW w:w="7656" w:type="dxa"/>
            <w:gridSpan w:val="5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Laboratory results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269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44" w:type="dxa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Increase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Decrease</w:t>
            </w:r>
          </w:p>
        </w:tc>
        <w:tc>
          <w:tcPr>
            <w:tcW w:w="1596" w:type="dxa"/>
            <w:tcBorders>
              <w:top w:val="single" w:color="auto" w:sz="4" w:space="0"/>
              <w:left w:val="nil"/>
              <w:bottom w:val="single" w:color="auto" w:sz="8" w:space="0"/>
              <w:right w:val="single" w:color="FFFFFF" w:sz="2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Normal</w:t>
            </w:r>
          </w:p>
        </w:tc>
        <w:tc>
          <w:tcPr>
            <w:tcW w:w="1716" w:type="dxa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All patients</w:t>
            </w:r>
            <w:r>
              <w:rPr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color w:val="000000"/>
                <w:kern w:val="0"/>
                <w:sz w:val="24"/>
                <w:szCs w:val="24"/>
              </w:rPr>
              <w:t>(n=487)</w:t>
            </w:r>
          </w:p>
        </w:tc>
        <w:tc>
          <w:tcPr>
            <w:tcW w:w="1932" w:type="dxa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Vaccinated</w:t>
            </w:r>
            <w:r>
              <w:rPr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color w:val="000000"/>
                <w:kern w:val="0"/>
                <w:sz w:val="24"/>
                <w:szCs w:val="24"/>
              </w:rPr>
              <w:t>(n=213)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Unvaccinated</w:t>
            </w:r>
            <w:r>
              <w:rPr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color w:val="000000"/>
                <w:kern w:val="0"/>
                <w:sz w:val="24"/>
                <w:szCs w:val="24"/>
              </w:rPr>
              <w:t>(n=274)</w:t>
            </w:r>
          </w:p>
        </w:tc>
        <w:tc>
          <w:tcPr>
            <w:tcW w:w="1046" w:type="dxa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U</w:t>
            </w:r>
            <w:r>
              <w:rPr>
                <w:color w:val="000000"/>
                <w:kern w:val="0"/>
                <w:sz w:val="24"/>
                <w:szCs w:val="24"/>
              </w:rPr>
              <w:t>nit</w:t>
            </w:r>
          </w:p>
        </w:tc>
        <w:tc>
          <w:tcPr>
            <w:tcW w:w="1102" w:type="dxa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P value</w:t>
            </w:r>
          </w:p>
        </w:tc>
      </w:tr>
      <w:tr>
        <w:trPr>
          <w:trHeight w:val="648" w:hRule="atLeast"/>
        </w:trPr>
        <w:tc>
          <w:tcPr>
            <w:tcW w:w="2698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White blood cell count</w:t>
            </w:r>
          </w:p>
        </w:tc>
        <w:tc>
          <w:tcPr>
            <w:tcW w:w="1644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53(10.9%)</w:t>
            </w:r>
          </w:p>
        </w:tc>
        <w:tc>
          <w:tcPr>
            <w:tcW w:w="1380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46(9.1%)</w:t>
            </w:r>
          </w:p>
        </w:tc>
        <w:tc>
          <w:tcPr>
            <w:tcW w:w="1596" w:type="dxa"/>
            <w:tcBorders>
              <w:top w:val="single" w:color="auto" w:sz="8" w:space="0"/>
              <w:left w:val="nil"/>
              <w:bottom w:val="nil"/>
              <w:right w:val="single" w:color="FFFFFF" w:sz="2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388(79.7%)</w:t>
            </w:r>
          </w:p>
        </w:tc>
        <w:tc>
          <w:tcPr>
            <w:tcW w:w="1716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6.5(5.2-8.4)</w:t>
            </w:r>
          </w:p>
        </w:tc>
        <w:tc>
          <w:tcPr>
            <w:tcW w:w="1932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6.7(5.4-8.4)</w:t>
            </w:r>
          </w:p>
        </w:tc>
        <w:tc>
          <w:tcPr>
            <w:tcW w:w="1860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6.4(4.9-8.3)</w:t>
            </w:r>
          </w:p>
        </w:tc>
        <w:tc>
          <w:tcPr>
            <w:tcW w:w="1046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×10⁹/L</w:t>
            </w:r>
          </w:p>
        </w:tc>
        <w:tc>
          <w:tcPr>
            <w:tcW w:w="1102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0.239</w:t>
            </w:r>
          </w:p>
        </w:tc>
      </w:tr>
      <w:tr>
        <w:trPr>
          <w:trHeight w:val="648" w:hRule="atLeast"/>
        </w:trPr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Lymphocyte ratio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56(11.5%)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205(42.1%)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single" w:color="FFFFFF" w:sz="2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226(46.4%)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23.6(14.1-37.4)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15.9(10.3-23.7)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30.9(20.9-46.1)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%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Monocyte ratio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260(53.4%)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1(0.2%)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single" w:color="FFFFFF" w:sz="2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226(46.4%)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10.5(8.2-13.5)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9.3(7.4-11.5)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11.8(9.0-15.2)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%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Neutrophil ratio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120(24.6%)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88(18.1%)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single" w:color="FFFFFF" w:sz="2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279(57.3%)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63.3(47.5-75.3)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72.9(63.2-80.2)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50.9(36.9-66.4)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%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 xml:space="preserve">Lymphocyte count 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67(13.8%)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159(32.6%)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single" w:color="FFFFFF" w:sz="2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261(53.6%)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1.4(0.9-2.2)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1.1(0.7-1.6)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1.8(1.2-3.1)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×10⁹/L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Monocyte count</w:t>
            </w:r>
            <w:r>
              <w:rPr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299(61.4%)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single" w:color="FFFFFF" w:sz="2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188(38.6%)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0.7(0.5-0.9)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0.6(0.5-0.8)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0.7(0.6-1.0)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×10⁹/L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Neutrophil count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85(17.5%)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61(12.5%)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single" w:color="FFFFFF" w:sz="2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341(70.0%)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3.8(2.5-5.8)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4.8(3.4-6.4)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3.1(2.0-4.8)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×10⁹/L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269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 xml:space="preserve">C-reactive protein </w:t>
            </w:r>
          </w:p>
        </w:tc>
        <w:tc>
          <w:tcPr>
            <w:tcW w:w="1644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97(19.9%)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8" w:space="0"/>
              <w:right w:val="single" w:color="FFFFFF" w:sz="2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390(80.1%)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3.9(1.5-8.4)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6.8(2.6-14.4)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2.5(1.2-5.6)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mg/L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</w:tbl>
    <w:p/>
    <w:sectPr>
      <w:pgSz w:w="16838" w:h="11906" w:orient="landscape"/>
      <w:pgMar w:top="720" w:right="720" w:bottom="720" w:left="720" w:header="851" w:footer="992" w:gutter="0"/>
      <w:cols w:space="425" w:num="1"/>
      <w:docGrid w:type="lines" w:linePitch="38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40"/>
  <w:drawingGridVerticalSpacing w:val="381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AyN2U4OGIxNzRkNjMxOTg4OTEzNDM4OWE3ZmI3MzYifQ=="/>
  </w:docVars>
  <w:rsids>
    <w:rsidRoot w:val="00472664"/>
    <w:rsid w:val="00422DAD"/>
    <w:rsid w:val="004603D1"/>
    <w:rsid w:val="00472664"/>
    <w:rsid w:val="005E221B"/>
    <w:rsid w:val="00821B03"/>
    <w:rsid w:val="00F3789D"/>
    <w:rsid w:val="00FE11E2"/>
    <w:rsid w:val="60B14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szCs w:val="28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111</Words>
  <Characters>913</Characters>
  <Lines>7</Lines>
  <Paragraphs>2</Paragraphs>
  <TotalTime>2</TotalTime>
  <ScaleCrop>false</ScaleCrop>
  <LinksUpToDate>false</LinksUpToDate>
  <CharactersWithSpaces>942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2023-06-05T12:10:00Z</dcterms:created>
  <dc:creator>1956831902@qq.com</dc:creator>
  <cp:lastModifiedBy>William</cp:lastModifiedBy>
  <dcterms:modified xsi:type="dcterms:W3CDTF">2023-06-05T13:03:16Z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F273833051DB420C9E9D49864A03BDE0_12</vt:lpwstr>
  </property>
</Properties>
</file>