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3B5" w:rsidRDefault="001913B5" w:rsidP="001913B5">
      <w:pPr>
        <w:tabs>
          <w:tab w:val="left" w:pos="1315"/>
        </w:tabs>
        <w:spacing w:before="240" w:after="240"/>
      </w:pPr>
      <w:r>
        <w:tab/>
      </w:r>
      <w:r w:rsidRPr="008E3CAB">
        <w:rPr>
          <w:noProof/>
          <w:lang w:val="en-US"/>
        </w:rPr>
        <w:drawing>
          <wp:inline distT="0" distB="0" distL="0" distR="0" wp14:anchorId="3CEBB055" wp14:editId="38D870FD">
            <wp:extent cx="6222366" cy="56056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3825" cy="5615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3B5" w:rsidRPr="001E62CC" w:rsidRDefault="001913B5" w:rsidP="001913B5">
      <w:pPr>
        <w:spacing w:line="240" w:lineRule="auto"/>
        <w:rPr>
          <w:color w:val="000000"/>
          <w:kern w:val="24"/>
          <w:sz w:val="24"/>
          <w:szCs w:val="24"/>
        </w:rPr>
      </w:pPr>
      <w:r w:rsidRPr="001E62CC">
        <w:rPr>
          <w:b/>
          <w:sz w:val="24"/>
          <w:szCs w:val="24"/>
        </w:rPr>
        <w:t xml:space="preserve">Supplementary Figure </w:t>
      </w:r>
      <w:r>
        <w:rPr>
          <w:b/>
          <w:sz w:val="24"/>
          <w:szCs w:val="24"/>
        </w:rPr>
        <w:t>1</w:t>
      </w:r>
      <w:r w:rsidRPr="001E62CC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Immune cell density at different distances from the closest tumor nest margin. a. </w:t>
      </w:r>
      <w:r w:rsidRPr="005128B6">
        <w:rPr>
          <w:sz w:val="24"/>
          <w:szCs w:val="24"/>
        </w:rPr>
        <w:t>Bar graph depicting mean CD4 + cell density and standard deviation for 8 case</w:t>
      </w:r>
      <w:r>
        <w:rPr>
          <w:sz w:val="24"/>
          <w:szCs w:val="24"/>
        </w:rPr>
        <w:t>s</w:t>
      </w:r>
      <w:r>
        <w:rPr>
          <w:b/>
          <w:sz w:val="24"/>
          <w:szCs w:val="24"/>
        </w:rPr>
        <w:t xml:space="preserve">; b. </w:t>
      </w:r>
      <w:r>
        <w:rPr>
          <w:sz w:val="24"/>
          <w:szCs w:val="24"/>
        </w:rPr>
        <w:t>CD8+ cell mean density</w:t>
      </w:r>
      <w:r w:rsidRPr="005128B6">
        <w:rPr>
          <w:sz w:val="24"/>
          <w:szCs w:val="24"/>
        </w:rPr>
        <w:t>;</w:t>
      </w:r>
      <w:r>
        <w:rPr>
          <w:b/>
          <w:sz w:val="24"/>
          <w:szCs w:val="24"/>
        </w:rPr>
        <w:t xml:space="preserve"> c. </w:t>
      </w:r>
      <w:r w:rsidRPr="008E3CAB">
        <w:rPr>
          <w:sz w:val="24"/>
          <w:szCs w:val="24"/>
        </w:rPr>
        <w:t>CD16+ and</w:t>
      </w:r>
      <w:r>
        <w:rPr>
          <w:b/>
          <w:sz w:val="24"/>
          <w:szCs w:val="24"/>
        </w:rPr>
        <w:t xml:space="preserve">; d. </w:t>
      </w:r>
      <w:r w:rsidRPr="008E3CAB">
        <w:rPr>
          <w:sz w:val="24"/>
          <w:szCs w:val="24"/>
        </w:rPr>
        <w:t xml:space="preserve">CD163+ cells. </w:t>
      </w:r>
    </w:p>
    <w:p w:rsidR="001913B5" w:rsidRDefault="001913B5" w:rsidP="001913B5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1913B5" w:rsidRPr="001913B5" w:rsidRDefault="001913B5" w:rsidP="001913B5">
      <w:pPr>
        <w:tabs>
          <w:tab w:val="left" w:pos="1315"/>
        </w:tabs>
        <w:sectPr w:rsidR="001913B5" w:rsidRPr="001913B5" w:rsidSect="001913B5">
          <w:pgSz w:w="12240" w:h="15840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:rsidR="001913B5" w:rsidRPr="001E62CC" w:rsidRDefault="001913B5" w:rsidP="001913B5">
      <w:pPr>
        <w:spacing w:before="240" w:after="240"/>
        <w:rPr>
          <w:b/>
          <w:sz w:val="24"/>
          <w:szCs w:val="24"/>
        </w:rPr>
      </w:pPr>
      <w:r w:rsidRPr="001E62CC">
        <w:rPr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5AD56681" wp14:editId="47CA58A7">
            <wp:extent cx="8670187" cy="305330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peline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58" r="10229" b="13604"/>
                    <a:stretch/>
                  </pic:blipFill>
                  <pic:spPr bwMode="auto">
                    <a:xfrm>
                      <a:off x="0" y="0"/>
                      <a:ext cx="8721062" cy="30712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13B5" w:rsidRPr="001E62CC" w:rsidRDefault="001913B5" w:rsidP="001913B5">
      <w:pPr>
        <w:spacing w:line="240" w:lineRule="auto"/>
        <w:rPr>
          <w:color w:val="000000"/>
          <w:kern w:val="24"/>
          <w:sz w:val="24"/>
          <w:szCs w:val="24"/>
        </w:rPr>
      </w:pPr>
      <w:bookmarkStart w:id="0" w:name="_fjtfi4l3quw2" w:colFirst="0" w:colLast="0"/>
      <w:bookmarkStart w:id="1" w:name="_17dp8vu" w:colFirst="0" w:colLast="0"/>
      <w:bookmarkStart w:id="2" w:name="OLE_LINK2"/>
      <w:bookmarkEnd w:id="0"/>
      <w:bookmarkEnd w:id="1"/>
      <w:r w:rsidRPr="001E62CC">
        <w:rPr>
          <w:b/>
          <w:sz w:val="24"/>
          <w:szCs w:val="24"/>
        </w:rPr>
        <w:t xml:space="preserve">Supplementary Figure </w:t>
      </w:r>
      <w:r>
        <w:rPr>
          <w:b/>
          <w:sz w:val="24"/>
          <w:szCs w:val="24"/>
        </w:rPr>
        <w:t>2</w:t>
      </w:r>
      <w:r w:rsidRPr="001E62CC">
        <w:rPr>
          <w:b/>
          <w:sz w:val="24"/>
          <w:szCs w:val="24"/>
        </w:rPr>
        <w:t xml:space="preserve">. </w:t>
      </w:r>
      <w:r w:rsidRPr="001E62CC">
        <w:rPr>
          <w:rFonts w:eastAsiaTheme="minorEastAsia"/>
          <w:b/>
          <w:bCs/>
          <w:color w:val="000000"/>
          <w:kern w:val="24"/>
          <w:sz w:val="24"/>
          <w:szCs w:val="24"/>
        </w:rPr>
        <w:t xml:space="preserve">Flowchart of Multiplex Immunohistochemical Whole Slide Image Analysis Pipeline </w:t>
      </w:r>
      <w:r w:rsidRPr="001E62CC">
        <w:rPr>
          <w:color w:val="000000"/>
          <w:kern w:val="24"/>
          <w:sz w:val="24"/>
          <w:szCs w:val="24"/>
        </w:rPr>
        <w:t>mIHC: multiplex immunohistochemistry, WSI: whole slide image, ROI: Region of Interest.</w:t>
      </w:r>
    </w:p>
    <w:bookmarkEnd w:id="2"/>
    <w:p w:rsidR="001913B5" w:rsidRPr="001E62CC" w:rsidRDefault="001913B5" w:rsidP="001913B5">
      <w:pPr>
        <w:rPr>
          <w:b/>
          <w:sz w:val="24"/>
          <w:szCs w:val="24"/>
        </w:rPr>
      </w:pPr>
    </w:p>
    <w:p w:rsidR="001913B5" w:rsidRPr="001E62CC" w:rsidRDefault="001913B5" w:rsidP="001913B5">
      <w:pPr>
        <w:rPr>
          <w:sz w:val="24"/>
          <w:szCs w:val="24"/>
        </w:rPr>
      </w:pPr>
      <w:bookmarkStart w:id="3" w:name="_GoBack"/>
      <w:r w:rsidRPr="001E62CC">
        <w:rPr>
          <w:noProof/>
          <w:color w:val="2B579A"/>
          <w:sz w:val="24"/>
          <w:szCs w:val="24"/>
          <w:shd w:val="clear" w:color="auto" w:fill="E6E6E6"/>
          <w:lang w:val="en-US"/>
        </w:rPr>
        <w:lastRenderedPageBreak/>
        <w:drawing>
          <wp:inline distT="0" distB="0" distL="0" distR="0" wp14:anchorId="38B7C6D3" wp14:editId="7D53636A">
            <wp:extent cx="8367145" cy="4731026"/>
            <wp:effectExtent l="0" t="0" r="0" b="0"/>
            <wp:docPr id="1800969127" name="Picture 1800969127" descr="A picture containing text, diagram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21594" cy="4761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p w:rsidR="001913B5" w:rsidRDefault="001913B5" w:rsidP="001913B5">
      <w:pPr>
        <w:rPr>
          <w:sz w:val="24"/>
          <w:szCs w:val="24"/>
        </w:rPr>
        <w:sectPr w:rsidR="001913B5" w:rsidSect="001913B5"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299"/>
        </w:sectPr>
      </w:pPr>
      <w:r w:rsidRPr="001E62CC">
        <w:rPr>
          <w:b/>
          <w:bCs/>
          <w:color w:val="000000" w:themeColor="text1"/>
          <w:sz w:val="24"/>
          <w:szCs w:val="24"/>
        </w:rPr>
        <w:t xml:space="preserve">Supplementary Figure </w:t>
      </w:r>
      <w:r>
        <w:rPr>
          <w:b/>
          <w:bCs/>
          <w:color w:val="000000" w:themeColor="text1"/>
          <w:sz w:val="24"/>
          <w:szCs w:val="24"/>
        </w:rPr>
        <w:t>3</w:t>
      </w:r>
      <w:r w:rsidRPr="001E62CC">
        <w:rPr>
          <w:b/>
          <w:bCs/>
          <w:color w:val="000000" w:themeColor="text1"/>
          <w:sz w:val="24"/>
          <w:szCs w:val="24"/>
        </w:rPr>
        <w:t xml:space="preserve">. There are more CD8+ T cells in K17-negative regions, regardless of histologic variant. </w:t>
      </w:r>
      <w:r w:rsidRPr="001E62CC">
        <w:rPr>
          <w:sz w:val="24"/>
          <w:szCs w:val="24"/>
        </w:rPr>
        <w:t xml:space="preserve">Immune cell ratios in peritumoral and intratumoral K17-negative regions relative to K17-positive regions, ordered based on the density of immune cells in K17-positive zones. </w:t>
      </w:r>
      <w:r w:rsidRPr="001E62CC">
        <w:rPr>
          <w:b/>
          <w:bCs/>
          <w:color w:val="000000" w:themeColor="text1"/>
          <w:sz w:val="24"/>
          <w:szCs w:val="24"/>
        </w:rPr>
        <w:t>a</w:t>
      </w:r>
      <w:r w:rsidRPr="001E62CC">
        <w:rPr>
          <w:b/>
          <w:color w:val="000000" w:themeColor="text1"/>
          <w:sz w:val="24"/>
          <w:szCs w:val="24"/>
        </w:rPr>
        <w:t>-c</w:t>
      </w:r>
      <w:r w:rsidRPr="001E62CC">
        <w:rPr>
          <w:bCs/>
          <w:color w:val="000000" w:themeColor="text1"/>
          <w:sz w:val="24"/>
          <w:szCs w:val="24"/>
        </w:rPr>
        <w:t>. Per</w:t>
      </w:r>
      <w:r w:rsidRPr="001E62CC">
        <w:rPr>
          <w:color w:val="000000" w:themeColor="text1"/>
          <w:sz w:val="24"/>
          <w:szCs w:val="24"/>
        </w:rPr>
        <w:t xml:space="preserve">itumoral CD8+ T cell density ratios in conventional, foamy cell, and large duct PDAC variant cases. </w:t>
      </w:r>
      <w:r w:rsidRPr="001E62CC">
        <w:rPr>
          <w:b/>
          <w:color w:val="000000" w:themeColor="text1"/>
          <w:sz w:val="24"/>
          <w:szCs w:val="24"/>
        </w:rPr>
        <w:t>d-f</w:t>
      </w:r>
      <w:r w:rsidRPr="001E62CC">
        <w:rPr>
          <w:color w:val="000000" w:themeColor="text1"/>
          <w:sz w:val="24"/>
          <w:szCs w:val="24"/>
        </w:rPr>
        <w:t xml:space="preserve">. Intratumoral CD8+ T cell density ratios in </w:t>
      </w:r>
      <w:bookmarkStart w:id="4" w:name="_Hlk154727474"/>
      <w:r w:rsidRPr="001E62CC">
        <w:rPr>
          <w:color w:val="000000" w:themeColor="text1"/>
          <w:sz w:val="24"/>
          <w:szCs w:val="24"/>
        </w:rPr>
        <w:t xml:space="preserve">conventional, foamy cell, and large duct PDAC variant </w:t>
      </w:r>
      <w:bookmarkEnd w:id="4"/>
      <w:r w:rsidRPr="001E62CC">
        <w:rPr>
          <w:color w:val="000000" w:themeColor="text1"/>
          <w:sz w:val="24"/>
          <w:szCs w:val="24"/>
        </w:rPr>
        <w:t xml:space="preserve">cases. </w:t>
      </w:r>
      <w:r w:rsidRPr="001E62CC">
        <w:rPr>
          <w:b/>
          <w:bCs/>
          <w:sz w:val="24"/>
          <w:szCs w:val="24"/>
        </w:rPr>
        <w:t>g</w:t>
      </w:r>
      <w:r w:rsidRPr="001E62CC">
        <w:rPr>
          <w:b/>
          <w:sz w:val="24"/>
          <w:szCs w:val="24"/>
        </w:rPr>
        <w:t>-I.</w:t>
      </w:r>
      <w:r w:rsidRPr="001E62CC">
        <w:rPr>
          <w:bCs/>
          <w:sz w:val="24"/>
          <w:szCs w:val="24"/>
        </w:rPr>
        <w:t xml:space="preserve"> Representative</w:t>
      </w:r>
      <w:r w:rsidRPr="001E62CC">
        <w:rPr>
          <w:sz w:val="24"/>
          <w:szCs w:val="24"/>
        </w:rPr>
        <w:t xml:space="preserve"> H&amp;E photomicrographs of conventional, foamy cell, and large duct PDAC variants, respectively.</w:t>
      </w:r>
    </w:p>
    <w:p w:rsidR="001913B5" w:rsidRPr="001E62CC" w:rsidRDefault="001913B5" w:rsidP="001913B5">
      <w:pPr>
        <w:rPr>
          <w:sz w:val="24"/>
          <w:szCs w:val="24"/>
        </w:rPr>
      </w:pPr>
    </w:p>
    <w:p w:rsidR="001913B5" w:rsidRPr="001E62CC" w:rsidRDefault="001913B5" w:rsidP="001913B5">
      <w:pPr>
        <w:shd w:val="clear" w:color="auto" w:fill="FFFFFF"/>
        <w:spacing w:after="160" w:line="240" w:lineRule="auto"/>
        <w:ind w:right="80"/>
        <w:jc w:val="both"/>
        <w:rPr>
          <w:b/>
          <w:sz w:val="24"/>
          <w:szCs w:val="24"/>
        </w:rPr>
      </w:pPr>
      <w:r w:rsidRPr="001E62CC">
        <w:rPr>
          <w:b/>
          <w:color w:val="1C1E29"/>
          <w:sz w:val="24"/>
          <w:szCs w:val="24"/>
        </w:rPr>
        <w:t>Supplementary</w:t>
      </w:r>
      <w:r w:rsidRPr="001E62CC">
        <w:rPr>
          <w:color w:val="1C1E29"/>
          <w:sz w:val="24"/>
          <w:szCs w:val="24"/>
        </w:rPr>
        <w:t xml:space="preserve"> </w:t>
      </w:r>
      <w:r w:rsidRPr="001E62CC">
        <w:rPr>
          <w:b/>
          <w:color w:val="222222"/>
          <w:sz w:val="24"/>
          <w:szCs w:val="24"/>
        </w:rPr>
        <w:t>Table 1</w:t>
      </w:r>
      <w:r w:rsidRPr="001E62CC">
        <w:rPr>
          <w:b/>
          <w:color w:val="212121"/>
          <w:sz w:val="24"/>
          <w:szCs w:val="24"/>
        </w:rPr>
        <w:t xml:space="preserve">. </w:t>
      </w:r>
      <w:r w:rsidRPr="001E62CC">
        <w:rPr>
          <w:bCs/>
          <w:color w:val="212121"/>
          <w:sz w:val="24"/>
          <w:szCs w:val="24"/>
        </w:rPr>
        <w:t>List of t</w:t>
      </w:r>
      <w:r w:rsidRPr="001E62CC">
        <w:rPr>
          <w:bCs/>
          <w:color w:val="1C1D1E"/>
          <w:sz w:val="24"/>
          <w:szCs w:val="24"/>
        </w:rPr>
        <w:t>argeted</w:t>
      </w:r>
      <w:r w:rsidRPr="001E62CC">
        <w:rPr>
          <w:color w:val="1C1D1E"/>
          <w:sz w:val="24"/>
          <w:szCs w:val="24"/>
        </w:rPr>
        <w:t xml:space="preserve"> populations, antibodies, incubation times, chromogens, and localization of each marker used in mIHC staining.</w:t>
      </w:r>
    </w:p>
    <w:tbl>
      <w:tblPr>
        <w:tblpPr w:leftFromText="180" w:rightFromText="180" w:vertAnchor="text" w:horzAnchor="margin" w:tblpXSpec="center" w:tblpY="59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132"/>
        <w:gridCol w:w="1617"/>
        <w:gridCol w:w="1490"/>
        <w:gridCol w:w="1606"/>
        <w:gridCol w:w="1362"/>
        <w:gridCol w:w="1388"/>
        <w:gridCol w:w="1261"/>
        <w:gridCol w:w="1579"/>
        <w:gridCol w:w="1515"/>
      </w:tblGrid>
      <w:tr w:rsidR="001913B5" w:rsidRPr="00F82F69" w:rsidTr="001E4084">
        <w:trPr>
          <w:trHeight w:val="294"/>
        </w:trPr>
        <w:tc>
          <w:tcPr>
            <w:tcW w:w="1132" w:type="dxa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b/>
                <w:sz w:val="20"/>
                <w:szCs w:val="24"/>
              </w:rPr>
            </w:pPr>
            <w:r w:rsidRPr="00F82F69">
              <w:rPr>
                <w:b/>
                <w:sz w:val="20"/>
                <w:szCs w:val="24"/>
              </w:rPr>
              <w:t>Staining Order</w:t>
            </w:r>
          </w:p>
        </w:tc>
        <w:tc>
          <w:tcPr>
            <w:tcW w:w="1617" w:type="dxa"/>
            <w:shd w:val="clear" w:color="auto" w:fill="auto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b/>
                <w:sz w:val="20"/>
                <w:szCs w:val="24"/>
              </w:rPr>
            </w:pPr>
            <w:r w:rsidRPr="00F82F69">
              <w:rPr>
                <w:b/>
                <w:sz w:val="20"/>
                <w:szCs w:val="24"/>
              </w:rPr>
              <w:t>Target</w:t>
            </w:r>
          </w:p>
        </w:tc>
        <w:tc>
          <w:tcPr>
            <w:tcW w:w="1490" w:type="dxa"/>
            <w:shd w:val="clear" w:color="auto" w:fill="auto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b/>
                <w:sz w:val="20"/>
                <w:szCs w:val="24"/>
              </w:rPr>
            </w:pPr>
            <w:r w:rsidRPr="00F82F69">
              <w:rPr>
                <w:b/>
                <w:sz w:val="20"/>
                <w:szCs w:val="24"/>
              </w:rPr>
              <w:t>Primary Antibody</w:t>
            </w:r>
          </w:p>
        </w:tc>
        <w:tc>
          <w:tcPr>
            <w:tcW w:w="1606" w:type="dxa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b/>
                <w:sz w:val="20"/>
                <w:szCs w:val="24"/>
              </w:rPr>
            </w:pPr>
            <w:r w:rsidRPr="00F82F69">
              <w:rPr>
                <w:b/>
                <w:sz w:val="20"/>
                <w:szCs w:val="24"/>
              </w:rPr>
              <w:t>Clone</w:t>
            </w:r>
          </w:p>
        </w:tc>
        <w:tc>
          <w:tcPr>
            <w:tcW w:w="1362" w:type="dxa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b/>
                <w:sz w:val="20"/>
                <w:szCs w:val="24"/>
              </w:rPr>
            </w:pPr>
            <w:r w:rsidRPr="00F82F69">
              <w:rPr>
                <w:b/>
                <w:sz w:val="20"/>
                <w:szCs w:val="24"/>
              </w:rPr>
              <w:t>Vendor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b/>
                <w:sz w:val="20"/>
                <w:szCs w:val="24"/>
              </w:rPr>
            </w:pPr>
            <w:r w:rsidRPr="00F82F69">
              <w:rPr>
                <w:b/>
                <w:sz w:val="20"/>
                <w:szCs w:val="24"/>
              </w:rPr>
              <w:t>Incubation</w:t>
            </w:r>
          </w:p>
        </w:tc>
        <w:tc>
          <w:tcPr>
            <w:tcW w:w="1261" w:type="dxa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b/>
                <w:sz w:val="20"/>
                <w:szCs w:val="24"/>
              </w:rPr>
            </w:pPr>
            <w:r w:rsidRPr="00F82F69">
              <w:rPr>
                <w:b/>
                <w:sz w:val="20"/>
                <w:szCs w:val="24"/>
              </w:rPr>
              <w:t>Dilution</w:t>
            </w:r>
          </w:p>
        </w:tc>
        <w:tc>
          <w:tcPr>
            <w:tcW w:w="1579" w:type="dxa"/>
            <w:shd w:val="clear" w:color="auto" w:fill="auto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b/>
                <w:sz w:val="20"/>
                <w:szCs w:val="24"/>
              </w:rPr>
            </w:pPr>
            <w:r w:rsidRPr="00F82F69">
              <w:rPr>
                <w:b/>
                <w:sz w:val="20"/>
                <w:szCs w:val="24"/>
              </w:rPr>
              <w:t>Detection</w:t>
            </w:r>
          </w:p>
        </w:tc>
        <w:tc>
          <w:tcPr>
            <w:tcW w:w="1515" w:type="dxa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b/>
                <w:sz w:val="20"/>
                <w:szCs w:val="24"/>
              </w:rPr>
            </w:pPr>
            <w:r w:rsidRPr="00F82F69">
              <w:rPr>
                <w:b/>
                <w:sz w:val="20"/>
                <w:szCs w:val="24"/>
              </w:rPr>
              <w:t>Chromogen</w:t>
            </w:r>
          </w:p>
        </w:tc>
      </w:tr>
      <w:tr w:rsidR="001913B5" w:rsidRPr="00F82F69" w:rsidTr="001E4084">
        <w:trPr>
          <w:trHeight w:val="426"/>
        </w:trPr>
        <w:tc>
          <w:tcPr>
            <w:tcW w:w="1132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3</w:t>
            </w:r>
          </w:p>
        </w:tc>
        <w:tc>
          <w:tcPr>
            <w:tcW w:w="1617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K17+ PDAC Cells</w:t>
            </w:r>
          </w:p>
        </w:tc>
        <w:tc>
          <w:tcPr>
            <w:tcW w:w="1490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i/>
                <w:sz w:val="20"/>
                <w:szCs w:val="24"/>
              </w:rPr>
            </w:pPr>
            <w:r w:rsidRPr="00F82F69">
              <w:rPr>
                <w:i/>
                <w:sz w:val="20"/>
                <w:szCs w:val="24"/>
              </w:rPr>
              <w:t>anti-</w:t>
            </w:r>
            <w:r w:rsidRPr="00F82F69">
              <w:rPr>
                <w:b/>
                <w:i/>
                <w:sz w:val="20"/>
                <w:szCs w:val="24"/>
              </w:rPr>
              <w:t>Cytokeratin 17</w:t>
            </w:r>
            <w:r w:rsidRPr="00F82F69">
              <w:rPr>
                <w:i/>
                <w:sz w:val="20"/>
                <w:szCs w:val="24"/>
              </w:rPr>
              <w:t xml:space="preserve"> Rabbit Monoclonal Primary Antibody</w:t>
            </w:r>
          </w:p>
        </w:tc>
        <w:tc>
          <w:tcPr>
            <w:tcW w:w="1606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i/>
                <w:sz w:val="20"/>
                <w:szCs w:val="24"/>
              </w:rPr>
              <w:t>SP95</w:t>
            </w:r>
          </w:p>
        </w:tc>
        <w:tc>
          <w:tcPr>
            <w:tcW w:w="1362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Roche</w:t>
            </w:r>
          </w:p>
        </w:tc>
        <w:tc>
          <w:tcPr>
            <w:tcW w:w="1388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40 min</w:t>
            </w:r>
          </w:p>
        </w:tc>
        <w:tc>
          <w:tcPr>
            <w:tcW w:w="1261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Prediluted</w:t>
            </w:r>
          </w:p>
        </w:tc>
        <w:tc>
          <w:tcPr>
            <w:tcW w:w="1579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DISCOVERY ChromoMap DAB (RUO)</w:t>
            </w:r>
          </w:p>
        </w:tc>
        <w:tc>
          <w:tcPr>
            <w:tcW w:w="1515" w:type="dxa"/>
            <w:shd w:val="clear" w:color="auto" w:fill="FFFFFF" w:themeFill="background1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Brown</w:t>
            </w:r>
          </w:p>
        </w:tc>
      </w:tr>
      <w:tr w:rsidR="001913B5" w:rsidRPr="00F82F69" w:rsidTr="001E4084">
        <w:trPr>
          <w:trHeight w:val="426"/>
        </w:trPr>
        <w:tc>
          <w:tcPr>
            <w:tcW w:w="1132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2</w:t>
            </w:r>
          </w:p>
        </w:tc>
        <w:tc>
          <w:tcPr>
            <w:tcW w:w="1617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  <w:lang w:val="de-DE"/>
              </w:rPr>
            </w:pPr>
            <w:r w:rsidRPr="00F82F69">
              <w:rPr>
                <w:sz w:val="20"/>
                <w:szCs w:val="24"/>
                <w:lang w:val="de-DE"/>
              </w:rPr>
              <w:t>CD8+ T cells T Cells</w:t>
            </w:r>
          </w:p>
        </w:tc>
        <w:tc>
          <w:tcPr>
            <w:tcW w:w="1490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i/>
                <w:sz w:val="20"/>
                <w:szCs w:val="24"/>
              </w:rPr>
            </w:pPr>
            <w:r w:rsidRPr="00F82F69">
              <w:rPr>
                <w:i/>
                <w:sz w:val="20"/>
                <w:szCs w:val="24"/>
              </w:rPr>
              <w:t>CONFIRM anti-</w:t>
            </w:r>
            <w:r w:rsidRPr="00F82F69">
              <w:rPr>
                <w:b/>
                <w:i/>
                <w:sz w:val="20"/>
                <w:szCs w:val="24"/>
              </w:rPr>
              <w:t>CD8</w:t>
            </w:r>
            <w:r w:rsidRPr="00F82F69">
              <w:rPr>
                <w:i/>
                <w:sz w:val="20"/>
                <w:szCs w:val="24"/>
              </w:rPr>
              <w:t xml:space="preserve"> Rabbit Monoclonal Primary Antibody</w:t>
            </w:r>
          </w:p>
        </w:tc>
        <w:tc>
          <w:tcPr>
            <w:tcW w:w="1606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i/>
                <w:sz w:val="20"/>
                <w:szCs w:val="24"/>
              </w:rPr>
              <w:t>SP57</w:t>
            </w:r>
          </w:p>
        </w:tc>
        <w:tc>
          <w:tcPr>
            <w:tcW w:w="1362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Roche</w:t>
            </w:r>
          </w:p>
        </w:tc>
        <w:tc>
          <w:tcPr>
            <w:tcW w:w="1388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20 min</w:t>
            </w:r>
          </w:p>
        </w:tc>
        <w:tc>
          <w:tcPr>
            <w:tcW w:w="1261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Prediluted</w:t>
            </w:r>
          </w:p>
        </w:tc>
        <w:tc>
          <w:tcPr>
            <w:tcW w:w="1579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DISCOVERY Purple Kit (RUO)</w:t>
            </w:r>
          </w:p>
        </w:tc>
        <w:tc>
          <w:tcPr>
            <w:tcW w:w="1515" w:type="dxa"/>
            <w:shd w:val="clear" w:color="auto" w:fill="FFFFFF" w:themeFill="background1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Purple</w:t>
            </w:r>
          </w:p>
        </w:tc>
      </w:tr>
      <w:tr w:rsidR="001913B5" w:rsidRPr="00F82F69" w:rsidTr="001E4084">
        <w:trPr>
          <w:trHeight w:val="294"/>
        </w:trPr>
        <w:tc>
          <w:tcPr>
            <w:tcW w:w="1132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1</w:t>
            </w:r>
          </w:p>
        </w:tc>
        <w:tc>
          <w:tcPr>
            <w:tcW w:w="1617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M2 Macrophages</w:t>
            </w:r>
          </w:p>
        </w:tc>
        <w:tc>
          <w:tcPr>
            <w:tcW w:w="1490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b/>
                <w:i/>
                <w:sz w:val="20"/>
                <w:szCs w:val="24"/>
              </w:rPr>
            </w:pPr>
            <w:r w:rsidRPr="00F82F69">
              <w:rPr>
                <w:b/>
                <w:i/>
                <w:sz w:val="20"/>
                <w:szCs w:val="24"/>
              </w:rPr>
              <w:t>CD163</w:t>
            </w:r>
          </w:p>
        </w:tc>
        <w:tc>
          <w:tcPr>
            <w:tcW w:w="1606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i/>
                <w:sz w:val="20"/>
                <w:szCs w:val="24"/>
              </w:rPr>
              <w:t>MRQ-26</w:t>
            </w:r>
          </w:p>
        </w:tc>
        <w:tc>
          <w:tcPr>
            <w:tcW w:w="1362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Roche</w:t>
            </w:r>
          </w:p>
        </w:tc>
        <w:tc>
          <w:tcPr>
            <w:tcW w:w="1388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40 min</w:t>
            </w:r>
          </w:p>
        </w:tc>
        <w:tc>
          <w:tcPr>
            <w:tcW w:w="1261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Prediluted</w:t>
            </w:r>
          </w:p>
        </w:tc>
        <w:tc>
          <w:tcPr>
            <w:tcW w:w="1579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DISCOVERY Green HRP Kit (RUO)</w:t>
            </w:r>
          </w:p>
        </w:tc>
        <w:tc>
          <w:tcPr>
            <w:tcW w:w="1515" w:type="dxa"/>
            <w:shd w:val="clear" w:color="auto" w:fill="FFFFFF" w:themeFill="background1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Green</w:t>
            </w:r>
          </w:p>
        </w:tc>
      </w:tr>
      <w:tr w:rsidR="001913B5" w:rsidRPr="00F82F69" w:rsidTr="001E4084">
        <w:trPr>
          <w:trHeight w:val="426"/>
        </w:trPr>
        <w:tc>
          <w:tcPr>
            <w:tcW w:w="1132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4</w:t>
            </w:r>
          </w:p>
        </w:tc>
        <w:tc>
          <w:tcPr>
            <w:tcW w:w="1617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All Macrophages</w:t>
            </w:r>
          </w:p>
        </w:tc>
        <w:tc>
          <w:tcPr>
            <w:tcW w:w="1490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b/>
                <w:i/>
                <w:sz w:val="20"/>
                <w:szCs w:val="24"/>
              </w:rPr>
            </w:pPr>
            <w:r w:rsidRPr="00F82F69">
              <w:rPr>
                <w:b/>
                <w:i/>
                <w:sz w:val="20"/>
                <w:szCs w:val="24"/>
              </w:rPr>
              <w:t>CD16</w:t>
            </w:r>
            <w:r w:rsidRPr="00F82F69">
              <w:rPr>
                <w:i/>
                <w:sz w:val="20"/>
                <w:szCs w:val="24"/>
              </w:rPr>
              <w:t xml:space="preserve"> Rabbit Monoclonal Primary Antibody</w:t>
            </w:r>
          </w:p>
        </w:tc>
        <w:tc>
          <w:tcPr>
            <w:tcW w:w="1606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i/>
                <w:sz w:val="20"/>
                <w:szCs w:val="24"/>
              </w:rPr>
              <w:t>SP175</w:t>
            </w:r>
          </w:p>
        </w:tc>
        <w:tc>
          <w:tcPr>
            <w:tcW w:w="1362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Roche</w:t>
            </w:r>
          </w:p>
        </w:tc>
        <w:tc>
          <w:tcPr>
            <w:tcW w:w="1388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24 min</w:t>
            </w:r>
          </w:p>
        </w:tc>
        <w:tc>
          <w:tcPr>
            <w:tcW w:w="1261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Prediluted</w:t>
            </w:r>
          </w:p>
        </w:tc>
        <w:tc>
          <w:tcPr>
            <w:tcW w:w="1579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DISCOVERY Yellow Kit (RUO)</w:t>
            </w:r>
          </w:p>
        </w:tc>
        <w:tc>
          <w:tcPr>
            <w:tcW w:w="1515" w:type="dxa"/>
            <w:shd w:val="clear" w:color="auto" w:fill="FFFFFF" w:themeFill="background1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Yellow</w:t>
            </w:r>
          </w:p>
        </w:tc>
      </w:tr>
      <w:tr w:rsidR="001913B5" w:rsidRPr="00F82F69" w:rsidTr="001E4084">
        <w:trPr>
          <w:trHeight w:val="426"/>
        </w:trPr>
        <w:tc>
          <w:tcPr>
            <w:tcW w:w="1132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6</w:t>
            </w:r>
          </w:p>
        </w:tc>
        <w:tc>
          <w:tcPr>
            <w:tcW w:w="1617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All Ductal Epithelial Cells</w:t>
            </w:r>
          </w:p>
        </w:tc>
        <w:tc>
          <w:tcPr>
            <w:tcW w:w="1490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i/>
                <w:sz w:val="20"/>
                <w:szCs w:val="24"/>
              </w:rPr>
            </w:pPr>
            <w:r w:rsidRPr="00F82F69">
              <w:rPr>
                <w:i/>
                <w:sz w:val="20"/>
                <w:szCs w:val="24"/>
              </w:rPr>
              <w:t>anti-</w:t>
            </w:r>
            <w:r w:rsidRPr="00F82F69">
              <w:rPr>
                <w:b/>
                <w:i/>
                <w:sz w:val="20"/>
                <w:szCs w:val="24"/>
              </w:rPr>
              <w:t>Pan Keratin</w:t>
            </w:r>
            <w:r w:rsidRPr="00F82F69">
              <w:rPr>
                <w:i/>
                <w:sz w:val="20"/>
                <w:szCs w:val="24"/>
              </w:rPr>
              <w:t xml:space="preserve"> Primary Antibody</w:t>
            </w:r>
          </w:p>
        </w:tc>
        <w:tc>
          <w:tcPr>
            <w:tcW w:w="1606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i/>
                <w:sz w:val="20"/>
                <w:szCs w:val="24"/>
              </w:rPr>
              <w:t>AE1/AE3/PCK26</w:t>
            </w:r>
          </w:p>
        </w:tc>
        <w:tc>
          <w:tcPr>
            <w:tcW w:w="1362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Roche</w:t>
            </w:r>
          </w:p>
        </w:tc>
        <w:tc>
          <w:tcPr>
            <w:tcW w:w="1388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24 min</w:t>
            </w:r>
          </w:p>
        </w:tc>
        <w:tc>
          <w:tcPr>
            <w:tcW w:w="1261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Prediluted</w:t>
            </w:r>
          </w:p>
        </w:tc>
        <w:tc>
          <w:tcPr>
            <w:tcW w:w="1579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DISCOVERY Teal HRP Kit (RUO)</w:t>
            </w:r>
          </w:p>
        </w:tc>
        <w:tc>
          <w:tcPr>
            <w:tcW w:w="1515" w:type="dxa"/>
            <w:shd w:val="clear" w:color="auto" w:fill="FFFFFF" w:themeFill="background1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Teal</w:t>
            </w:r>
          </w:p>
        </w:tc>
      </w:tr>
      <w:tr w:rsidR="001913B5" w:rsidRPr="00F82F69" w:rsidTr="001E4084">
        <w:trPr>
          <w:trHeight w:val="426"/>
        </w:trPr>
        <w:tc>
          <w:tcPr>
            <w:tcW w:w="1132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5</w:t>
            </w:r>
          </w:p>
        </w:tc>
        <w:tc>
          <w:tcPr>
            <w:tcW w:w="1617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Helper T Cells</w:t>
            </w:r>
          </w:p>
        </w:tc>
        <w:tc>
          <w:tcPr>
            <w:tcW w:w="1490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i/>
                <w:sz w:val="20"/>
                <w:szCs w:val="24"/>
              </w:rPr>
            </w:pPr>
            <w:r w:rsidRPr="00F82F69">
              <w:rPr>
                <w:i/>
                <w:sz w:val="20"/>
                <w:szCs w:val="24"/>
              </w:rPr>
              <w:t>CONFIRM anti-</w:t>
            </w:r>
            <w:r w:rsidRPr="00F82F69">
              <w:rPr>
                <w:b/>
                <w:i/>
                <w:sz w:val="20"/>
                <w:szCs w:val="24"/>
              </w:rPr>
              <w:t>CD4</w:t>
            </w:r>
            <w:r w:rsidRPr="00F82F69">
              <w:rPr>
                <w:i/>
                <w:sz w:val="20"/>
                <w:szCs w:val="24"/>
              </w:rPr>
              <w:t xml:space="preserve"> Rabbit Monoclonal Primary Antibody</w:t>
            </w:r>
          </w:p>
        </w:tc>
        <w:tc>
          <w:tcPr>
            <w:tcW w:w="1606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i/>
                <w:sz w:val="20"/>
                <w:szCs w:val="24"/>
              </w:rPr>
              <w:t>SP35</w:t>
            </w:r>
          </w:p>
        </w:tc>
        <w:tc>
          <w:tcPr>
            <w:tcW w:w="1362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Roche</w:t>
            </w:r>
          </w:p>
        </w:tc>
        <w:tc>
          <w:tcPr>
            <w:tcW w:w="1388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32 min</w:t>
            </w:r>
          </w:p>
        </w:tc>
        <w:tc>
          <w:tcPr>
            <w:tcW w:w="1261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Prediluted</w:t>
            </w:r>
          </w:p>
        </w:tc>
        <w:tc>
          <w:tcPr>
            <w:tcW w:w="1579" w:type="dxa"/>
            <w:shd w:val="clear" w:color="auto" w:fill="FFFFFF" w:themeFill="background1"/>
            <w:vAlign w:val="center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DISCOVERY Silver Kit (RUO)</w:t>
            </w:r>
          </w:p>
        </w:tc>
        <w:tc>
          <w:tcPr>
            <w:tcW w:w="1515" w:type="dxa"/>
            <w:shd w:val="clear" w:color="auto" w:fill="FFFFFF" w:themeFill="background1"/>
          </w:tcPr>
          <w:p w:rsidR="001913B5" w:rsidRPr="00F82F69" w:rsidRDefault="001913B5" w:rsidP="001E4084">
            <w:pPr>
              <w:spacing w:line="240" w:lineRule="auto"/>
              <w:jc w:val="center"/>
              <w:rPr>
                <w:sz w:val="20"/>
                <w:szCs w:val="24"/>
              </w:rPr>
            </w:pPr>
            <w:r w:rsidRPr="00F82F69">
              <w:rPr>
                <w:sz w:val="20"/>
                <w:szCs w:val="24"/>
              </w:rPr>
              <w:t>Black</w:t>
            </w:r>
          </w:p>
        </w:tc>
      </w:tr>
    </w:tbl>
    <w:p w:rsidR="001913B5" w:rsidRPr="001E62CC" w:rsidRDefault="001913B5" w:rsidP="001913B5">
      <w:pPr>
        <w:rPr>
          <w:sz w:val="24"/>
          <w:szCs w:val="24"/>
        </w:rPr>
      </w:pPr>
    </w:p>
    <w:p w:rsidR="00C27CA5" w:rsidRDefault="00FD03B3"/>
    <w:sectPr w:rsidR="00C27CA5" w:rsidSect="00F82F69">
      <w:pgSz w:w="15840" w:h="12240" w:orient="landscape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3B5"/>
    <w:rsid w:val="00013A15"/>
    <w:rsid w:val="001913B5"/>
    <w:rsid w:val="00886199"/>
    <w:rsid w:val="00FD0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61FBE"/>
  <w15:chartTrackingRefBased/>
  <w15:docId w15:val="{3A5A8745-FFB1-4B02-B0AB-43374D9C6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13B5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Oblein, Lyanne</dc:creator>
  <cp:keywords/>
  <dc:description/>
  <cp:lastModifiedBy>Oblein, Lyanne</cp:lastModifiedBy>
  <cp:revision>1</cp:revision>
  <dcterms:created xsi:type="dcterms:W3CDTF">2024-01-21T17:53:00Z</dcterms:created>
  <dcterms:modified xsi:type="dcterms:W3CDTF">2024-01-21T18:15:00Z</dcterms:modified>
</cp:coreProperties>
</file>