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9D0CA" w14:textId="01E8351C" w:rsidR="00CC5C37" w:rsidRPr="00CC5C37" w:rsidRDefault="00CC5C37" w:rsidP="00CC5C37">
      <w:pPr>
        <w:pStyle w:val="Sansinterligne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CC5C37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Supplementary material </w:t>
      </w:r>
    </w:p>
    <w:p w14:paraId="444A1E2E" w14:textId="77777777" w:rsidR="00CC5C37" w:rsidRPr="00CC5C37" w:rsidRDefault="00CC5C37" w:rsidP="00CC5C37">
      <w:pPr>
        <w:pStyle w:val="Sansinterligne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</w:p>
    <w:p w14:paraId="3E776A65" w14:textId="77777777" w:rsidR="00CC5C37" w:rsidRPr="004E7D5B" w:rsidRDefault="00CC5C37" w:rsidP="00CC5C37">
      <w:pPr>
        <w:rPr>
          <w:rFonts w:ascii="Times New Roman" w:hAnsi="Times New Roman" w:cs="Times New Roman"/>
          <w:lang w:val="en-US"/>
        </w:rPr>
      </w:pPr>
      <w:r w:rsidRPr="004E7D5B">
        <w:rPr>
          <w:rFonts w:ascii="Times New Roman" w:hAnsi="Times New Roman" w:cs="Times New Roman"/>
          <w:sz w:val="20"/>
          <w:szCs w:val="20"/>
          <w:lang w:val="en-US"/>
        </w:rPr>
        <w:t xml:space="preserve">Supplemental table </w:t>
      </w:r>
      <w:r>
        <w:rPr>
          <w:rFonts w:ascii="Times New Roman" w:hAnsi="Times New Roman" w:cs="Times New Roman"/>
          <w:sz w:val="20"/>
          <w:szCs w:val="20"/>
          <w:lang w:val="en-US"/>
        </w:rPr>
        <w:t>1</w:t>
      </w:r>
      <w:r w:rsidRPr="004E7D5B">
        <w:rPr>
          <w:rFonts w:ascii="Times New Roman" w:hAnsi="Times New Roman" w:cs="Times New Roman"/>
          <w:sz w:val="20"/>
          <w:szCs w:val="20"/>
          <w:lang w:val="en-US"/>
        </w:rPr>
        <w:t xml:space="preserve"> – </w:t>
      </w:r>
      <w:r w:rsidRPr="004E7D5B">
        <w:rPr>
          <w:rFonts w:ascii="Times New Roman" w:hAnsi="Times New Roman" w:cs="Times New Roman"/>
          <w:color w:val="000000"/>
          <w:sz w:val="20"/>
          <w:szCs w:val="20"/>
          <w:lang w:val="en-US"/>
        </w:rPr>
        <w:t>Averages of pollutant concentrations throughout the year over the three study years compared to the WHO AQG level</w:t>
      </w:r>
    </w:p>
    <w:tbl>
      <w:tblPr>
        <w:tblStyle w:val="TableauGrille2-Accentuation1"/>
        <w:tblW w:w="9209" w:type="dxa"/>
        <w:tblBorders>
          <w:top w:val="single" w:sz="4" w:space="0" w:color="auto"/>
          <w:bottom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1129"/>
        <w:gridCol w:w="1418"/>
        <w:gridCol w:w="1417"/>
        <w:gridCol w:w="1418"/>
        <w:gridCol w:w="850"/>
        <w:gridCol w:w="993"/>
        <w:gridCol w:w="992"/>
        <w:gridCol w:w="992"/>
      </w:tblGrid>
      <w:tr w:rsidR="00CC5C37" w:rsidRPr="004E7D5B" w14:paraId="7295FF38" w14:textId="77777777" w:rsidTr="00DB47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06396E80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hideMark/>
          </w:tcPr>
          <w:p w14:paraId="6450D4C0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hideMark/>
          </w:tcPr>
          <w:p w14:paraId="0BFEC90F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1418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hideMark/>
          </w:tcPr>
          <w:p w14:paraId="4873E8DD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2021</w:t>
            </w:r>
          </w:p>
        </w:tc>
        <w:tc>
          <w:tcPr>
            <w:tcW w:w="85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21B94AC4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AQG level</w:t>
            </w:r>
          </w:p>
        </w:tc>
        <w:tc>
          <w:tcPr>
            <w:tcW w:w="99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hideMark/>
          </w:tcPr>
          <w:p w14:paraId="5C760AEE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 2020 vs 2019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14:paraId="378E4279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 2021 vs 2020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</w:tcPr>
          <w:p w14:paraId="6798F904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 2021 vs 2019</w:t>
            </w:r>
          </w:p>
        </w:tc>
      </w:tr>
      <w:tr w:rsidR="00CC5C37" w:rsidRPr="004E7D5B" w14:paraId="61857313" w14:textId="77777777" w:rsidTr="00DB47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F6CEF57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(µg/m3)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126E14F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32.2 ± 7.3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B9E3B30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24.0 ± 4.4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0516FB7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26.4 ± 5.4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6F3779B2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E44A709" w14:textId="77777777" w:rsidR="00CC5C37" w:rsidRPr="004E7D5B" w:rsidRDefault="00CC5C37" w:rsidP="00DB478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0.003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6AC8EA65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8D514A3" w14:textId="77777777" w:rsidR="00CC5C37" w:rsidRPr="004E7D5B" w:rsidRDefault="00CC5C37" w:rsidP="00DB478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0.038</w:t>
            </w:r>
          </w:p>
        </w:tc>
      </w:tr>
      <w:tr w:rsidR="00CC5C37" w:rsidRPr="004E7D5B" w14:paraId="263DF262" w14:textId="77777777" w:rsidTr="00DB4780">
        <w:tc>
          <w:tcPr>
            <w:tcW w:w="1129" w:type="dxa"/>
            <w:shd w:val="clear" w:color="auto" w:fill="auto"/>
            <w:hideMark/>
          </w:tcPr>
          <w:p w14:paraId="579C9324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(µg/m3)</w:t>
            </w:r>
          </w:p>
        </w:tc>
        <w:tc>
          <w:tcPr>
            <w:tcW w:w="1418" w:type="dxa"/>
            <w:shd w:val="clear" w:color="auto" w:fill="auto"/>
            <w:hideMark/>
          </w:tcPr>
          <w:p w14:paraId="2CC5B3DB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43.8 ± 14.6</w:t>
            </w:r>
          </w:p>
        </w:tc>
        <w:tc>
          <w:tcPr>
            <w:tcW w:w="1417" w:type="dxa"/>
            <w:shd w:val="clear" w:color="auto" w:fill="auto"/>
            <w:hideMark/>
          </w:tcPr>
          <w:p w14:paraId="3791A1FD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48.4 ± 15.9</w:t>
            </w:r>
          </w:p>
        </w:tc>
        <w:tc>
          <w:tcPr>
            <w:tcW w:w="1418" w:type="dxa"/>
            <w:shd w:val="clear" w:color="auto" w:fill="auto"/>
            <w:hideMark/>
          </w:tcPr>
          <w:p w14:paraId="6900410C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44.7 ± 15.3</w:t>
            </w:r>
          </w:p>
        </w:tc>
        <w:tc>
          <w:tcPr>
            <w:tcW w:w="850" w:type="dxa"/>
            <w:shd w:val="clear" w:color="auto" w:fill="auto"/>
          </w:tcPr>
          <w:p w14:paraId="49CC56E7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993" w:type="dxa"/>
            <w:shd w:val="clear" w:color="auto" w:fill="auto"/>
            <w:hideMark/>
          </w:tcPr>
          <w:p w14:paraId="3F2ECB30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0.466</w:t>
            </w:r>
          </w:p>
        </w:tc>
        <w:tc>
          <w:tcPr>
            <w:tcW w:w="992" w:type="dxa"/>
            <w:shd w:val="clear" w:color="auto" w:fill="auto"/>
          </w:tcPr>
          <w:p w14:paraId="0135C02A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0.573</w:t>
            </w:r>
          </w:p>
        </w:tc>
        <w:tc>
          <w:tcPr>
            <w:tcW w:w="992" w:type="dxa"/>
            <w:shd w:val="clear" w:color="auto" w:fill="auto"/>
          </w:tcPr>
          <w:p w14:paraId="0619C8ED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0.873</w:t>
            </w:r>
          </w:p>
        </w:tc>
      </w:tr>
      <w:tr w:rsidR="00CC5C37" w:rsidRPr="004E7D5B" w14:paraId="7FC0BFB1" w14:textId="77777777" w:rsidTr="00DB47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29" w:type="dxa"/>
            <w:shd w:val="clear" w:color="auto" w:fill="auto"/>
            <w:hideMark/>
          </w:tcPr>
          <w:p w14:paraId="3188671D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10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(µg/m3)</w:t>
            </w:r>
          </w:p>
        </w:tc>
        <w:tc>
          <w:tcPr>
            <w:tcW w:w="1418" w:type="dxa"/>
            <w:shd w:val="clear" w:color="auto" w:fill="auto"/>
            <w:hideMark/>
          </w:tcPr>
          <w:p w14:paraId="58E87EFD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16.8 ± 3.1</w:t>
            </w:r>
          </w:p>
        </w:tc>
        <w:tc>
          <w:tcPr>
            <w:tcW w:w="1417" w:type="dxa"/>
            <w:shd w:val="clear" w:color="auto" w:fill="auto"/>
            <w:hideMark/>
          </w:tcPr>
          <w:p w14:paraId="6A5CA1FC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15.3 ± 3.6</w:t>
            </w:r>
          </w:p>
        </w:tc>
        <w:tc>
          <w:tcPr>
            <w:tcW w:w="1418" w:type="dxa"/>
            <w:shd w:val="clear" w:color="auto" w:fill="auto"/>
            <w:hideMark/>
          </w:tcPr>
          <w:p w14:paraId="7EBF429E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15.4 ± 2.6</w:t>
            </w:r>
          </w:p>
        </w:tc>
        <w:tc>
          <w:tcPr>
            <w:tcW w:w="850" w:type="dxa"/>
            <w:shd w:val="clear" w:color="auto" w:fill="auto"/>
          </w:tcPr>
          <w:p w14:paraId="0A6BB431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993" w:type="dxa"/>
            <w:shd w:val="clear" w:color="auto" w:fill="auto"/>
            <w:hideMark/>
          </w:tcPr>
          <w:p w14:paraId="60EC7AF7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0.294</w:t>
            </w:r>
          </w:p>
        </w:tc>
        <w:tc>
          <w:tcPr>
            <w:tcW w:w="992" w:type="dxa"/>
            <w:shd w:val="clear" w:color="auto" w:fill="auto"/>
          </w:tcPr>
          <w:p w14:paraId="6B36344A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0.970</w:t>
            </w:r>
          </w:p>
        </w:tc>
        <w:tc>
          <w:tcPr>
            <w:tcW w:w="992" w:type="dxa"/>
            <w:shd w:val="clear" w:color="auto" w:fill="auto"/>
          </w:tcPr>
          <w:p w14:paraId="1980DD91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0.233</w:t>
            </w:r>
          </w:p>
        </w:tc>
      </w:tr>
      <w:tr w:rsidR="00CC5C37" w:rsidRPr="004E7D5B" w14:paraId="6F917EBA" w14:textId="77777777" w:rsidTr="00DB4780"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086D619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2.5</w:t>
            </w: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(µg/m3)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FD04D07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10.5 ± 2.8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527FE7B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9.0 ± 2.4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A5A6EC2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10.2 ± 2.1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A57B32F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1820072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357DE3F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CF5DFA5" w14:textId="77777777" w:rsidR="00CC5C37" w:rsidRPr="004E7D5B" w:rsidRDefault="00CC5C37" w:rsidP="00DB478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0.747</w:t>
            </w:r>
          </w:p>
        </w:tc>
      </w:tr>
      <w:tr w:rsidR="00CC5C37" w:rsidRPr="00BC69BD" w14:paraId="0C62D115" w14:textId="77777777" w:rsidTr="00DB47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209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BB791D8" w14:textId="77777777" w:rsidR="00CC5C37" w:rsidRPr="004E7D5B" w:rsidRDefault="00CC5C37" w:rsidP="00DB478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E7D5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Values are mean ± standard deviation (SD)</w:t>
            </w:r>
            <w:r w:rsidRPr="004E7D5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br/>
              <w:t>NO</w:t>
            </w:r>
            <w:r w:rsidRPr="004E7D5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4E7D5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: 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nl-BE"/>
              </w:rPr>
              <w:t>nitrogen dioxide, O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val="en-US" w:eastAsia="nl-BE"/>
              </w:rPr>
              <w:t>3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nl-BE"/>
              </w:rPr>
              <w:t>: ozone, PM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val="en-US" w:eastAsia="nl-BE"/>
              </w:rPr>
              <w:t>10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nl-BE"/>
              </w:rPr>
              <w:t>: particulate matter 10 microns, PM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val="en-US" w:eastAsia="nl-BE"/>
              </w:rPr>
              <w:t>2.5</w:t>
            </w:r>
            <w:r w:rsidRPr="004E7D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nl-BE"/>
              </w:rPr>
              <w:t xml:space="preserve">: particulate matter 2.5 microns, WHO AQG: </w:t>
            </w:r>
            <w:r w:rsidRPr="004E7D5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World Health Organization Air Quality Guidelines</w:t>
            </w:r>
          </w:p>
        </w:tc>
      </w:tr>
    </w:tbl>
    <w:p w14:paraId="6B372AF2" w14:textId="77777777" w:rsidR="00CC5C37" w:rsidRDefault="00CC5C37" w:rsidP="00CC5C37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</w:pPr>
    </w:p>
    <w:p w14:paraId="6A74AE97" w14:textId="0427B268" w:rsidR="00CC5C37" w:rsidRDefault="00CC5C37" w:rsidP="00CC5C37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</w:pPr>
      <w:r w:rsidRPr="0082621D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t>Supplemental figure 1 - Number of salbutamol prescriptions versus number of children hospitalized with RSV at the CHU Saint-Pierre hospital. RSV, respiratory syncytial virus</w:t>
      </w:r>
    </w:p>
    <w:p w14:paraId="01F3F343" w14:textId="730C58A0" w:rsidR="00CC5C37" w:rsidRDefault="00CC5C37" w:rsidP="00CC5C37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nl-BE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n-US" w:eastAsia="nl-BE"/>
        </w:rPr>
        <w:drawing>
          <wp:inline distT="0" distB="0" distL="0" distR="0" wp14:anchorId="0D62A2E3" wp14:editId="615ACA36">
            <wp:extent cx="5760720" cy="3082925"/>
            <wp:effectExtent l="0" t="0" r="0" b="3175"/>
            <wp:docPr id="1" name="Image 1" descr="Une image contenant texte, Tracé, lign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Tracé, ligne, capture d’écran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60E17" w14:textId="77777777" w:rsidR="00CC5C37" w:rsidRDefault="00CC5C37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br w:type="page"/>
      </w:r>
    </w:p>
    <w:p w14:paraId="333549D4" w14:textId="0352369E" w:rsidR="00CC5C37" w:rsidRPr="00F7315A" w:rsidRDefault="00CC5C37" w:rsidP="00CC5C37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nl-BE"/>
        </w:rPr>
      </w:pPr>
      <w:r w:rsidRPr="0082621D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lastRenderedPageBreak/>
        <w:t xml:space="preserve">Supplemental figure 2 - Seasonality of pollutant concentration in an area of 5 km around the CHU Saint-Pierre hospital. 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t>NO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nl-BE"/>
        </w:rPr>
        <w:t>2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t>, nitrogen dioxide; PM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nl-BE"/>
        </w:rPr>
        <w:t>10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t>, particulate matter 10 microns; PM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nl-BE"/>
        </w:rPr>
        <w:t>2.5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t>, particulate matter 2.5 microns; O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nl-BE"/>
        </w:rPr>
        <w:t>3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t>, ozone</w:t>
      </w:r>
      <w:r w:rsidRPr="00F7315A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nl-BE"/>
        </w:rPr>
        <w:br/>
      </w:r>
    </w:p>
    <w:p w14:paraId="3BB0D841" w14:textId="1928818C" w:rsidR="00CC5C37" w:rsidRPr="0082621D" w:rsidRDefault="00CC5C37" w:rsidP="00CC5C37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nl-BE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n-US" w:eastAsia="nl-BE"/>
        </w:rPr>
        <w:drawing>
          <wp:inline distT="0" distB="0" distL="0" distR="0" wp14:anchorId="41FEA410" wp14:editId="429C5ABF">
            <wp:extent cx="5760720" cy="3258185"/>
            <wp:effectExtent l="0" t="0" r="0" b="0"/>
            <wp:docPr id="2" name="Image 2" descr="Une image contenant Tracé, ligne, diagramm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racé, ligne, diagramme, Police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DBBC2" w14:textId="77777777" w:rsidR="00CC5C37" w:rsidRPr="00CC5C37" w:rsidRDefault="00CC5C37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CC5C37" w:rsidRPr="00CC5C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37"/>
    <w:rsid w:val="00291DA0"/>
    <w:rsid w:val="005875A5"/>
    <w:rsid w:val="009641F0"/>
    <w:rsid w:val="00CC5C37"/>
    <w:rsid w:val="00D0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1967A"/>
  <w15:chartTrackingRefBased/>
  <w15:docId w15:val="{6806C2CA-4480-406E-B200-FEC3C058A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C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C5C37"/>
    <w:pPr>
      <w:spacing w:after="0" w:line="240" w:lineRule="auto"/>
    </w:pPr>
  </w:style>
  <w:style w:type="table" w:styleId="TableauGrille2-Accentuation1">
    <w:name w:val="Grid Table 2 Accent 1"/>
    <w:basedOn w:val="TableauNormal"/>
    <w:uiPriority w:val="47"/>
    <w:rsid w:val="00CC5C37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176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Clémentine Delporte</dc:creator>
  <cp:keywords/>
  <dc:description/>
  <cp:lastModifiedBy>Clémentine Delporte</cp:lastModifiedBy>
  <cp:revision>1</cp:revision>
  <dcterms:created xsi:type="dcterms:W3CDTF">2024-01-07T20:47:00Z</dcterms:created>
  <dcterms:modified xsi:type="dcterms:W3CDTF">2024-01-07T20:50:00Z</dcterms:modified>
</cp:coreProperties>
</file>