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DA45" w14:textId="77777777" w:rsidR="00D12EDA" w:rsidRDefault="00D12EDA" w:rsidP="00D12EDA"/>
    <w:p w14:paraId="11126C6D" w14:textId="77777777" w:rsidR="00D12EDA" w:rsidRDefault="00D12EDA" w:rsidP="00D12EDA">
      <w:pPr>
        <w:widowControl/>
        <w:spacing w:before="100" w:beforeAutospacing="1" w:after="100" w:afterAutospacing="1"/>
        <w:ind w:firstLine="397"/>
        <w:jc w:val="left"/>
      </w:pPr>
      <w:r w:rsidRPr="00886853">
        <w:rPr>
          <w:noProof/>
        </w:rPr>
        <w:drawing>
          <wp:inline distT="0" distB="0" distL="0" distR="0" wp14:anchorId="4ED4D055" wp14:editId="55493BC6">
            <wp:extent cx="5274310" cy="7032625"/>
            <wp:effectExtent l="0" t="0" r="0" b="3175"/>
            <wp:docPr id="1899258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587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63F88" w14:textId="77777777" w:rsidR="00D12EDA" w:rsidRPr="00E67096" w:rsidRDefault="00D12EDA" w:rsidP="00D12EDA">
      <w:pPr>
        <w:tabs>
          <w:tab w:val="left" w:pos="2270"/>
        </w:tabs>
        <w:spacing w:line="360" w:lineRule="auto"/>
        <w:rPr>
          <w:rFonts w:ascii="Arial" w:hAnsi="Arial" w:cs="Arial"/>
          <w:sz w:val="24"/>
          <w:szCs w:val="24"/>
        </w:rPr>
      </w:pPr>
      <w:r w:rsidRPr="00E67096">
        <w:rPr>
          <w:rFonts w:ascii="Arial" w:hAnsi="Arial" w:cs="Arial"/>
          <w:b/>
          <w:bCs/>
          <w:sz w:val="24"/>
          <w:szCs w:val="24"/>
        </w:rPr>
        <w:t xml:space="preserve">FIGURE S1. </w:t>
      </w:r>
      <w:r w:rsidRPr="00E67096">
        <w:rPr>
          <w:rFonts w:ascii="Arial" w:hAnsi="Arial" w:cs="Arial"/>
          <w:sz w:val="24"/>
          <w:szCs w:val="24"/>
        </w:rPr>
        <w:t xml:space="preserve">(A) GO plots of cell component (CC), biological process (BP) and molecular function (MF) of differentially expressed genes (DEGs). </w:t>
      </w:r>
    </w:p>
    <w:p w14:paraId="58500525" w14:textId="77777777" w:rsidR="00D12EDA" w:rsidRDefault="00D12EDA" w:rsidP="00D12EDA">
      <w:pPr>
        <w:widowControl/>
        <w:spacing w:before="100" w:beforeAutospacing="1" w:after="100" w:afterAutospacing="1"/>
        <w:ind w:firstLine="397"/>
        <w:jc w:val="left"/>
      </w:pPr>
      <w:r>
        <w:lastRenderedPageBreak/>
        <w:br w:type="page"/>
      </w:r>
    </w:p>
    <w:p w14:paraId="10E233E3" w14:textId="77777777" w:rsidR="00D12EDA" w:rsidRDefault="00D12EDA" w:rsidP="00D12EDA"/>
    <w:p w14:paraId="50ED3DF7" w14:textId="77777777" w:rsidR="00D12EDA" w:rsidRPr="00E67096" w:rsidRDefault="00D12EDA" w:rsidP="00D12EDA">
      <w:pPr>
        <w:tabs>
          <w:tab w:val="left" w:pos="2270"/>
        </w:tabs>
        <w:spacing w:line="360" w:lineRule="auto"/>
        <w:rPr>
          <w:rFonts w:ascii="Arial" w:hAnsi="Arial" w:cs="Arial"/>
          <w:sz w:val="24"/>
          <w:szCs w:val="24"/>
        </w:rPr>
      </w:pPr>
      <w:r w:rsidRPr="00886853">
        <w:rPr>
          <w:noProof/>
        </w:rPr>
        <w:drawing>
          <wp:inline distT="0" distB="0" distL="0" distR="0" wp14:anchorId="7586EE2C" wp14:editId="546C069E">
            <wp:extent cx="5274310" cy="7032625"/>
            <wp:effectExtent l="0" t="0" r="0" b="3175"/>
            <wp:docPr id="940447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474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8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67096">
        <w:rPr>
          <w:rFonts w:ascii="Arial" w:hAnsi="Arial" w:cs="Arial"/>
          <w:b/>
          <w:bCs/>
          <w:sz w:val="24"/>
          <w:szCs w:val="24"/>
        </w:rPr>
        <w:t xml:space="preserve">FIGURE S2.  </w:t>
      </w:r>
      <w:r w:rsidRPr="00E67096">
        <w:rPr>
          <w:rFonts w:ascii="Arial" w:hAnsi="Arial" w:cs="Arial"/>
          <w:sz w:val="24"/>
          <w:szCs w:val="24"/>
        </w:rPr>
        <w:t xml:space="preserve">(A) Kaplan-Meier curves between patients diagnosed as UNC by Hans with CCND3 mutations and without CCND3 mutations. (B) Kaplan-Meier curves of DLBCL patients diagnosed as MCD subtype by LymphGen algorithm according to CCND3 mutational </w:t>
      </w:r>
      <w:r w:rsidRPr="00E67096">
        <w:rPr>
          <w:rFonts w:ascii="Arial" w:hAnsi="Arial" w:cs="Arial"/>
          <w:sz w:val="24"/>
          <w:szCs w:val="24"/>
        </w:rPr>
        <w:lastRenderedPageBreak/>
        <w:t xml:space="preserve">status. (C) Kaplan-Meier curves of DLBCL patients diagnosed as other subtype by LymphGen algorithm according to CCND3 mutational status. (D) Kaplan-Meier curves of DLBCL patients diagnosed as BN2 subtype by LymphGen algorithm according to CCND3 mutational status. (E) Kaplan-Meier analysis of OS in CCND3-mut patients with mutated in exon5 and other exons. (F) Kaplan-Meier curves between CCND3-mut patients with GCB subtype and non-GCB subtype. (G) Kaplan-Meier curves between CCND3-mut patients with G&gt;A </w:t>
      </w:r>
      <w:r w:rsidRPr="00E67096">
        <w:rPr>
          <w:rFonts w:ascii="Arial" w:hAnsi="Arial" w:cs="Arial"/>
          <w:color w:val="000000" w:themeColor="text1"/>
          <w:sz w:val="24"/>
          <w:szCs w:val="24"/>
        </w:rPr>
        <w:t>transitions</w:t>
      </w:r>
      <w:r w:rsidRPr="00E67096">
        <w:rPr>
          <w:rFonts w:ascii="Arial" w:hAnsi="Arial" w:cs="Arial"/>
          <w:sz w:val="24"/>
          <w:szCs w:val="24"/>
        </w:rPr>
        <w:t xml:space="preserve"> and other transitions.</w:t>
      </w:r>
    </w:p>
    <w:p w14:paraId="386F16E8" w14:textId="77777777" w:rsidR="00D12EDA" w:rsidRDefault="00D12EDA" w:rsidP="00D12EDA">
      <w:pPr>
        <w:widowControl/>
        <w:spacing w:before="100" w:beforeAutospacing="1" w:after="100" w:afterAutospacing="1"/>
        <w:ind w:firstLine="397"/>
        <w:jc w:val="left"/>
      </w:pPr>
      <w:r>
        <w:br w:type="page"/>
      </w:r>
    </w:p>
    <w:p w14:paraId="18CE8485" w14:textId="77777777" w:rsidR="00D12EDA" w:rsidRDefault="00D12EDA" w:rsidP="00D12EDA"/>
    <w:p w14:paraId="45BEABAC" w14:textId="77777777" w:rsidR="00D12EDA" w:rsidRDefault="00D12EDA" w:rsidP="00D12EDA">
      <w:pPr>
        <w:widowControl/>
        <w:spacing w:before="100" w:beforeAutospacing="1" w:after="100" w:afterAutospacing="1"/>
        <w:ind w:firstLine="397"/>
        <w:jc w:val="left"/>
      </w:pPr>
      <w:r w:rsidRPr="00886853">
        <w:rPr>
          <w:noProof/>
        </w:rPr>
        <w:drawing>
          <wp:inline distT="0" distB="0" distL="0" distR="0" wp14:anchorId="4F46C652" wp14:editId="69331958">
            <wp:extent cx="5274310" cy="3289300"/>
            <wp:effectExtent l="0" t="0" r="0" b="0"/>
            <wp:docPr id="312257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57741" name=""/>
                    <pic:cNvPicPr/>
                  </pic:nvPicPr>
                  <pic:blipFill rotWithShape="1">
                    <a:blip r:embed="rId6"/>
                    <a:srcRect b="53228"/>
                    <a:stretch/>
                  </pic:blipFill>
                  <pic:spPr bwMode="auto">
                    <a:xfrm>
                      <a:off x="0" y="0"/>
                      <a:ext cx="5274310" cy="3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CB8A8" w14:textId="77777777" w:rsidR="00D12EDA" w:rsidRPr="00886853" w:rsidRDefault="00D12EDA" w:rsidP="00D12EDA">
      <w:pPr>
        <w:tabs>
          <w:tab w:val="left" w:pos="2270"/>
        </w:tabs>
        <w:spacing w:line="360" w:lineRule="auto"/>
        <w:rPr>
          <w:rFonts w:ascii="Arial" w:hAnsi="Arial" w:cs="Arial"/>
          <w:sz w:val="24"/>
          <w:szCs w:val="24"/>
        </w:rPr>
      </w:pPr>
      <w:r w:rsidRPr="00E67096">
        <w:rPr>
          <w:rFonts w:ascii="Arial" w:hAnsi="Arial" w:cs="Arial"/>
          <w:b/>
          <w:bCs/>
          <w:sz w:val="24"/>
          <w:szCs w:val="24"/>
        </w:rPr>
        <w:t xml:space="preserve">FIGURE S3. </w:t>
      </w:r>
      <w:r w:rsidRPr="00E67096">
        <w:rPr>
          <w:rFonts w:ascii="Arial" w:hAnsi="Arial" w:cs="Arial"/>
          <w:sz w:val="24"/>
          <w:szCs w:val="24"/>
        </w:rPr>
        <w:t>Potential targeted drugs prediction for patients diagnosed as DLBCL with CCND3 mutations by R package ‘oncopredict’.</w:t>
      </w:r>
    </w:p>
    <w:p w14:paraId="0F8B2E15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DA"/>
    <w:rsid w:val="000C30FD"/>
    <w:rsid w:val="000D4074"/>
    <w:rsid w:val="001E4B73"/>
    <w:rsid w:val="005314AC"/>
    <w:rsid w:val="009B53F0"/>
    <w:rsid w:val="00D1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CD8A"/>
  <w15:chartTrackingRefBased/>
  <w15:docId w15:val="{7DEEB82C-B4B3-4521-B9E0-4D1B2D77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DA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</Words>
  <Characters>913</Characters>
  <Application>Microsoft Office Word</Application>
  <DocSecurity>0</DocSecurity>
  <Lines>7</Lines>
  <Paragraphs>2</Paragraphs>
  <ScaleCrop>false</ScaleCrop>
  <Company>Springer Nature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2024-02-08T12:08:00Z</dcterms:created>
  <dcterms:modified xsi:type="dcterms:W3CDTF">2024-02-08T12:08:00Z</dcterms:modified>
</cp:coreProperties>
</file>