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FAF2A" w14:textId="0D591E5A" w:rsidR="00CD1C9C" w:rsidRDefault="00CD1C9C" w:rsidP="00CD1C9C">
      <w:pPr>
        <w:ind w:left="0" w:hanging="2"/>
        <w:rPr>
          <w:b/>
        </w:rPr>
      </w:pPr>
      <w:r>
        <w:rPr>
          <w:b/>
        </w:rPr>
        <w:t>Supplemental Material:</w:t>
      </w:r>
    </w:p>
    <w:p w14:paraId="551731C0" w14:textId="77777777" w:rsidR="00CD1C9C" w:rsidRDefault="00CD1C9C" w:rsidP="00CD1C9C">
      <w:pPr>
        <w:ind w:left="0" w:hanging="2"/>
        <w:rPr>
          <w:b/>
        </w:rPr>
      </w:pPr>
    </w:p>
    <w:p w14:paraId="7D4392A1" w14:textId="38DE0D44" w:rsidR="00CD1C9C" w:rsidRDefault="00CD1C9C" w:rsidP="00CD1C9C">
      <w:pPr>
        <w:ind w:left="0" w:hanging="2"/>
      </w:pPr>
      <w:r>
        <w:rPr>
          <w:b/>
        </w:rPr>
        <w:t xml:space="preserve">Blockade of the platelet-driven CXCL7-CXCR1/2 inflammatory axis prevents murine cerebral aneurysm formation and rupture </w:t>
      </w:r>
    </w:p>
    <w:p w14:paraId="245D23CD" w14:textId="77777777" w:rsidR="00CD1C9C" w:rsidRDefault="00CD1C9C" w:rsidP="00CD1C9C">
      <w:pPr>
        <w:ind w:left="0" w:hanging="2"/>
      </w:pPr>
    </w:p>
    <w:p w14:paraId="243325F3" w14:textId="77777777" w:rsidR="00CD1C9C" w:rsidRDefault="00CD1C9C" w:rsidP="00CD1C9C">
      <w:pPr>
        <w:ind w:left="0" w:hanging="2"/>
        <w:rPr>
          <w:vertAlign w:val="superscript"/>
        </w:rPr>
      </w:pPr>
      <w:r>
        <w:t>Kamil W. Nowicki, MD, PhD,</w:t>
      </w:r>
      <w:r>
        <w:rPr>
          <w:vertAlign w:val="superscript"/>
        </w:rPr>
        <w:t>1</w:t>
      </w:r>
      <w:r>
        <w:t xml:space="preserve"> Aditya Mittal, BS,</w:t>
      </w:r>
      <w:r>
        <w:rPr>
          <w:vertAlign w:val="superscript"/>
        </w:rPr>
        <w:t>1</w:t>
      </w:r>
      <w:r>
        <w:t xml:space="preserve"> Joseph S. Hudson, MD,</w:t>
      </w:r>
      <w:r>
        <w:rPr>
          <w:vertAlign w:val="superscript"/>
        </w:rPr>
        <w:t>1</w:t>
      </w:r>
      <w:r>
        <w:t xml:space="preserve"> Michael P. D’Angelo, MD,</w:t>
      </w:r>
      <w:r>
        <w:rPr>
          <w:vertAlign w:val="superscript"/>
        </w:rPr>
        <w:t xml:space="preserve">2 </w:t>
      </w:r>
      <w:r>
        <w:t>Michael M. McDowell, MD,</w:t>
      </w:r>
      <w:r>
        <w:rPr>
          <w:vertAlign w:val="superscript"/>
        </w:rPr>
        <w:t>1</w:t>
      </w:r>
      <w:r>
        <w:t xml:space="preserve"> Catherine Cao,</w:t>
      </w:r>
      <w:r>
        <w:rPr>
          <w:vertAlign w:val="superscript"/>
        </w:rPr>
        <w:t xml:space="preserve">1 </w:t>
      </w:r>
      <w:r>
        <w:t>Rohit Mantena,</w:t>
      </w:r>
      <w:r>
        <w:rPr>
          <w:vertAlign w:val="superscript"/>
        </w:rPr>
        <w:t xml:space="preserve">1 </w:t>
      </w:r>
      <w:r w:rsidRPr="00B34462">
        <w:t xml:space="preserve">Abhishek </w:t>
      </w:r>
      <w:proofErr w:type="spellStart"/>
      <w:r w:rsidRPr="00B34462">
        <w:t>Jauhari</w:t>
      </w:r>
      <w:proofErr w:type="spellEnd"/>
      <w:r>
        <w:t>,</w:t>
      </w:r>
      <w:r w:rsidRPr="00B34462">
        <w:rPr>
          <w:vertAlign w:val="superscript"/>
        </w:rPr>
        <w:t xml:space="preserve"> </w:t>
      </w:r>
      <w:r>
        <w:t>PhD</w:t>
      </w:r>
      <w:r>
        <w:rPr>
          <w:vertAlign w:val="superscript"/>
        </w:rPr>
        <w:t>1</w:t>
      </w:r>
      <w:r>
        <w:t>, Robert M. Friedlander, MD, MA</w:t>
      </w:r>
      <w:r>
        <w:rPr>
          <w:vertAlign w:val="superscript"/>
        </w:rPr>
        <w:t>1</w:t>
      </w:r>
    </w:p>
    <w:p w14:paraId="594390C6" w14:textId="77777777" w:rsidR="00CD1C9C" w:rsidRDefault="00CD1C9C" w:rsidP="00CD1C9C">
      <w:pPr>
        <w:ind w:left="0" w:hanging="2"/>
      </w:pPr>
    </w:p>
    <w:p w14:paraId="1015F04C" w14:textId="77777777" w:rsidR="00CD1C9C" w:rsidRDefault="00CD1C9C" w:rsidP="00CD1C9C">
      <w:pPr>
        <w:spacing w:line="480" w:lineRule="auto"/>
        <w:ind w:left="0" w:hanging="2"/>
      </w:pPr>
    </w:p>
    <w:p w14:paraId="34B04A75" w14:textId="77777777" w:rsidR="00CD1C9C" w:rsidRDefault="00CD1C9C" w:rsidP="00CD1C9C">
      <w:pPr>
        <w:spacing w:after="200" w:line="276" w:lineRule="auto"/>
        <w:ind w:left="0" w:hanging="2"/>
        <w:rPr>
          <w:sz w:val="22"/>
          <w:szCs w:val="22"/>
        </w:rPr>
      </w:pPr>
      <w:r>
        <w:rPr>
          <w:sz w:val="22"/>
          <w:szCs w:val="22"/>
        </w:rPr>
        <w:t>1. Department of Neurological Surgery, University of Pittsburgh School of Medicine, Pittsburgh, PA</w:t>
      </w:r>
    </w:p>
    <w:p w14:paraId="6A2542D8" w14:textId="77777777" w:rsidR="00CD1C9C" w:rsidRDefault="00CD1C9C" w:rsidP="00CD1C9C">
      <w:pPr>
        <w:spacing w:after="200" w:line="276" w:lineRule="auto"/>
        <w:ind w:left="0" w:hanging="2"/>
        <w:rPr>
          <w:sz w:val="22"/>
          <w:szCs w:val="22"/>
        </w:rPr>
      </w:pPr>
      <w:r>
        <w:rPr>
          <w:sz w:val="22"/>
          <w:szCs w:val="22"/>
        </w:rPr>
        <w:t>2. Department of Radiology, University of Pittsburgh School of Medicine, Pittsburgh, PA</w:t>
      </w:r>
    </w:p>
    <w:p w14:paraId="4B001165" w14:textId="5CA83A63" w:rsidR="00CD1C9C" w:rsidRDefault="00CD1C9C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</w:pPr>
      <w:r>
        <w:br w:type="page"/>
      </w:r>
    </w:p>
    <w:p w14:paraId="3CD4DAFB" w14:textId="4D4672A5" w:rsidR="00CD1C9C" w:rsidRDefault="00CD1C9C" w:rsidP="00CD1C9C">
      <w:pPr>
        <w:ind w:leftChars="0" w:left="0" w:firstLineChars="0" w:firstLine="0"/>
        <w:rPr>
          <w:b/>
          <w:bCs/>
        </w:rPr>
      </w:pPr>
      <w:r w:rsidRPr="00CD1C9C">
        <w:rPr>
          <w:b/>
          <w:bCs/>
        </w:rPr>
        <w:lastRenderedPageBreak/>
        <w:t>Expanded Methods:</w:t>
      </w:r>
    </w:p>
    <w:p w14:paraId="64BA56B2" w14:textId="77777777" w:rsidR="00CD1C9C" w:rsidRDefault="00CD1C9C" w:rsidP="00CD1C9C">
      <w:pPr>
        <w:ind w:leftChars="0" w:left="0" w:firstLineChars="0" w:firstLine="0"/>
        <w:rPr>
          <w:b/>
          <w:bCs/>
        </w:rPr>
      </w:pPr>
    </w:p>
    <w:p w14:paraId="50BC4071" w14:textId="77777777" w:rsidR="00CD1C9C" w:rsidRPr="00703AC9" w:rsidRDefault="00CD1C9C" w:rsidP="00CD1C9C">
      <w:pPr>
        <w:ind w:left="0" w:hanging="2"/>
        <w:rPr>
          <w:b/>
          <w:sz w:val="22"/>
          <w:szCs w:val="22"/>
        </w:rPr>
      </w:pPr>
      <w:r w:rsidRPr="00703AC9">
        <w:rPr>
          <w:b/>
          <w:sz w:val="22"/>
          <w:szCs w:val="22"/>
        </w:rPr>
        <w:t>Animals</w:t>
      </w:r>
    </w:p>
    <w:p w14:paraId="6100FD0D" w14:textId="77777777" w:rsidR="00CD1C9C" w:rsidRPr="00703AC9" w:rsidRDefault="00CD1C9C" w:rsidP="00CD1C9C">
      <w:pPr>
        <w:ind w:left="0" w:hanging="2"/>
        <w:rPr>
          <w:sz w:val="22"/>
          <w:szCs w:val="22"/>
        </w:rPr>
      </w:pPr>
      <w:r w:rsidRPr="00703AC9">
        <w:rPr>
          <w:sz w:val="22"/>
          <w:szCs w:val="22"/>
        </w:rPr>
        <w:tab/>
        <w:t xml:space="preserve">All animal experimentation was performed under an Institutional Animal Care and Use Committee-approved protocol. </w:t>
      </w:r>
    </w:p>
    <w:p w14:paraId="7DF8B8EE" w14:textId="77777777" w:rsidR="00CD1C9C" w:rsidRPr="00703AC9" w:rsidRDefault="00CD1C9C" w:rsidP="00CD1C9C">
      <w:pPr>
        <w:ind w:left="0" w:hanging="2"/>
        <w:rPr>
          <w:sz w:val="22"/>
          <w:szCs w:val="22"/>
        </w:rPr>
      </w:pPr>
    </w:p>
    <w:p w14:paraId="49DB812A" w14:textId="77777777" w:rsidR="00CD1C9C" w:rsidRPr="00703AC9" w:rsidRDefault="00CD1C9C" w:rsidP="00CD1C9C">
      <w:pPr>
        <w:ind w:left="0" w:hanging="2"/>
        <w:rPr>
          <w:sz w:val="22"/>
          <w:szCs w:val="22"/>
        </w:rPr>
      </w:pPr>
      <w:r w:rsidRPr="00703AC9">
        <w:rPr>
          <w:b/>
          <w:sz w:val="22"/>
          <w:szCs w:val="22"/>
        </w:rPr>
        <w:t>Mouse Intracranial Aneurysm Model</w:t>
      </w:r>
    </w:p>
    <w:p w14:paraId="2CC305A4" w14:textId="538B8F69" w:rsidR="00CD1C9C" w:rsidRPr="00CD1C9C" w:rsidRDefault="00CD1C9C" w:rsidP="00CD1C9C">
      <w:pPr>
        <w:ind w:leftChars="0" w:left="0" w:firstLineChars="0" w:firstLine="0"/>
        <w:rPr>
          <w:b/>
          <w:bCs/>
        </w:rPr>
      </w:pPr>
      <w:r w:rsidRPr="00703AC9">
        <w:rPr>
          <w:sz w:val="22"/>
          <w:szCs w:val="22"/>
        </w:rPr>
        <w:t xml:space="preserve">Murine intracranial aneurysms were created in female </w:t>
      </w:r>
      <w:proofErr w:type="gramStart"/>
      <w:r w:rsidRPr="00703AC9">
        <w:rPr>
          <w:sz w:val="22"/>
          <w:szCs w:val="22"/>
        </w:rPr>
        <w:t>8-12 week-old</w:t>
      </w:r>
      <w:proofErr w:type="gramEnd"/>
      <w:r w:rsidRPr="00703AC9">
        <w:rPr>
          <w:sz w:val="22"/>
          <w:szCs w:val="22"/>
        </w:rPr>
        <w:t xml:space="preserve"> C57BL/6 mice (Charles River Laboratories, Wilmington, MA) using a method described previously</w:t>
      </w:r>
      <w:r>
        <w:rPr>
          <w:sz w:val="22"/>
          <w:szCs w:val="22"/>
        </w:rPr>
        <w:t xml:space="preserve"> and the scheme is shown in </w:t>
      </w:r>
      <w:r w:rsidRPr="00CD1C9C">
        <w:rPr>
          <w:b/>
          <w:bCs/>
          <w:sz w:val="22"/>
          <w:szCs w:val="22"/>
        </w:rPr>
        <w:t>Supplementa</w:t>
      </w:r>
      <w:r w:rsidR="00F27F31">
        <w:rPr>
          <w:b/>
          <w:bCs/>
          <w:sz w:val="22"/>
          <w:szCs w:val="22"/>
        </w:rPr>
        <w:t>ry</w:t>
      </w:r>
      <w:r w:rsidRPr="00CD1C9C">
        <w:rPr>
          <w:b/>
          <w:bCs/>
          <w:sz w:val="22"/>
          <w:szCs w:val="22"/>
        </w:rPr>
        <w:t xml:space="preserve"> Figure 1</w:t>
      </w:r>
      <w:r>
        <w:rPr>
          <w:sz w:val="22"/>
          <w:szCs w:val="22"/>
        </w:rPr>
        <w:t xml:space="preserve">. Experimental scheme using different small molecule inhibitors is shown in </w:t>
      </w:r>
      <w:r w:rsidRPr="00CD1C9C">
        <w:rPr>
          <w:b/>
          <w:bCs/>
          <w:sz w:val="22"/>
          <w:szCs w:val="22"/>
        </w:rPr>
        <w:t>Supplementa</w:t>
      </w:r>
      <w:r w:rsidR="00F27F31">
        <w:rPr>
          <w:b/>
          <w:bCs/>
          <w:sz w:val="22"/>
          <w:szCs w:val="22"/>
        </w:rPr>
        <w:t>ry</w:t>
      </w:r>
      <w:r w:rsidRPr="00CD1C9C">
        <w:rPr>
          <w:b/>
          <w:bCs/>
          <w:sz w:val="22"/>
          <w:szCs w:val="22"/>
        </w:rPr>
        <w:t xml:space="preserve"> Figure 2</w:t>
      </w:r>
      <w:r>
        <w:rPr>
          <w:sz w:val="22"/>
          <w:szCs w:val="22"/>
        </w:rPr>
        <w:t xml:space="preserve">. </w:t>
      </w:r>
    </w:p>
    <w:p w14:paraId="47FA34E1" w14:textId="77777777" w:rsidR="00CD1C9C" w:rsidRDefault="00CD1C9C" w:rsidP="00CD1C9C">
      <w:pPr>
        <w:ind w:leftChars="0" w:left="0" w:firstLineChars="0" w:firstLine="0"/>
      </w:pPr>
    </w:p>
    <w:p w14:paraId="1F837846" w14:textId="77777777" w:rsidR="00CD1C9C" w:rsidRPr="00F7292F" w:rsidRDefault="00CD1C9C" w:rsidP="00CD1C9C">
      <w:pPr>
        <w:ind w:left="0" w:hanging="2"/>
        <w:rPr>
          <w:sz w:val="22"/>
          <w:szCs w:val="22"/>
        </w:rPr>
      </w:pPr>
      <w:r w:rsidRPr="00F7292F">
        <w:rPr>
          <w:b/>
          <w:sz w:val="22"/>
          <w:szCs w:val="22"/>
        </w:rPr>
        <w:t>Immunohistochemistry of Mouse and Human Aneurysm Specimens</w:t>
      </w:r>
    </w:p>
    <w:p w14:paraId="3D981AE6" w14:textId="77777777" w:rsidR="00CD1C9C" w:rsidRDefault="00CD1C9C" w:rsidP="00CD1C9C">
      <w:pPr>
        <w:ind w:left="0" w:hanging="2"/>
        <w:rPr>
          <w:sz w:val="22"/>
          <w:szCs w:val="22"/>
        </w:rPr>
      </w:pPr>
      <w:r w:rsidRPr="00F7292F">
        <w:rPr>
          <w:sz w:val="22"/>
          <w:szCs w:val="22"/>
        </w:rPr>
        <w:t xml:space="preserve">Murine aneurysm specimens were first fixed in 4% PFA for 24 hours, and then dehydrated in 18% sucrose solution.  Tissues were mounted in Tissue-Tek OCT compound (Sakura </w:t>
      </w:r>
      <w:proofErr w:type="spellStart"/>
      <w:r w:rsidRPr="00F7292F">
        <w:rPr>
          <w:sz w:val="22"/>
          <w:szCs w:val="22"/>
        </w:rPr>
        <w:t>Finetek</w:t>
      </w:r>
      <w:proofErr w:type="spellEnd"/>
      <w:r w:rsidRPr="00F7292F">
        <w:rPr>
          <w:sz w:val="22"/>
          <w:szCs w:val="22"/>
        </w:rPr>
        <w:t xml:space="preserve"> USA, Torrance, CA) and sectioned at 5 </w:t>
      </w:r>
      <w:proofErr w:type="spellStart"/>
      <w:r w:rsidRPr="00F7292F">
        <w:rPr>
          <w:sz w:val="22"/>
          <w:szCs w:val="22"/>
        </w:rPr>
        <w:t>μm</w:t>
      </w:r>
      <w:proofErr w:type="spellEnd"/>
      <w:r w:rsidRPr="00F7292F">
        <w:rPr>
          <w:sz w:val="22"/>
          <w:szCs w:val="22"/>
        </w:rPr>
        <w:t>.  Heat mediated antigen retrieval in Dako Target Retrieval Solution (Dako, Carpinteria, CA) was performed for all murine immunohistochemistry studies.  Following a block in 2% normal horse serum (S-2000, Vector Labs) for 1 hour, the specimens were incubated with rat anti-MECA-32 antibody (BD 550563, BD Biosciences, San Jose, CA) to visualize endothelial cells, rabbit anti-CXCL1/GRO-α antibody (ab86436, Abcam),</w:t>
      </w:r>
      <w:r>
        <w:rPr>
          <w:sz w:val="22"/>
          <w:szCs w:val="22"/>
        </w:rPr>
        <w:t xml:space="preserve"> </w:t>
      </w:r>
      <w:r w:rsidRPr="00F7292F">
        <w:rPr>
          <w:sz w:val="22"/>
          <w:szCs w:val="22"/>
        </w:rPr>
        <w:t xml:space="preserve">overnight at 4 </w:t>
      </w:r>
      <w:proofErr w:type="spellStart"/>
      <w:r w:rsidRPr="00AA6D92">
        <w:rPr>
          <w:sz w:val="22"/>
          <w:szCs w:val="22"/>
          <w:vertAlign w:val="superscript"/>
        </w:rPr>
        <w:t>o</w:t>
      </w:r>
      <w:r w:rsidRPr="00F7292F">
        <w:rPr>
          <w:sz w:val="22"/>
          <w:szCs w:val="22"/>
        </w:rPr>
        <w:t>C</w:t>
      </w:r>
      <w:proofErr w:type="spellEnd"/>
      <w:r w:rsidRPr="00F7292F">
        <w:rPr>
          <w:sz w:val="22"/>
          <w:szCs w:val="22"/>
        </w:rPr>
        <w:t xml:space="preserve">, and washed. For immunohistochemistry of human aneurysm samples, the tissues were fixed in 4% PFA and embedded in paraffin.  After tissue sectioning at 5 </w:t>
      </w:r>
      <w:proofErr w:type="spellStart"/>
      <w:r w:rsidRPr="00F7292F">
        <w:rPr>
          <w:sz w:val="22"/>
          <w:szCs w:val="22"/>
        </w:rPr>
        <w:t>μm</w:t>
      </w:r>
      <w:proofErr w:type="spellEnd"/>
      <w:r w:rsidRPr="00F7292F">
        <w:rPr>
          <w:sz w:val="22"/>
          <w:szCs w:val="22"/>
        </w:rPr>
        <w:t xml:space="preserve">, the samples were de-paraffinized by xylene and ethanol.  Heat mediated antigen retrieval in 10 </w:t>
      </w:r>
      <w:proofErr w:type="spellStart"/>
      <w:r w:rsidRPr="00F7292F">
        <w:rPr>
          <w:sz w:val="22"/>
          <w:szCs w:val="22"/>
        </w:rPr>
        <w:t>μM</w:t>
      </w:r>
      <w:proofErr w:type="spellEnd"/>
      <w:r w:rsidRPr="00F7292F">
        <w:rPr>
          <w:sz w:val="22"/>
          <w:szCs w:val="22"/>
        </w:rPr>
        <w:t xml:space="preserve"> Sodium Citrate buffer pH 6.5 for all samples was performed.  The staining protocol for CXCL1/GRO-α was then followed exactly as for immunohistochemistry of mouse aneurysm specimens except that mouse anti-human CD31 antibody (IR61061-2, Dako) was used in place of MECA-32 to visualize the endothelial cell layer. The secondary antibodies used were Alexa Fluor 488 donkey anti-rat antibody (A-21208, Life Technologies), Alexa Fluor 488 donkey anti-rabbit antibody (A-21206, Life Technologies), Alexa Fluor 568 donkey anti-rabbit antibody (A-21206, Life Technologies), and Alexa Fluor 594 donkey anti-mouse antibody (A-21203, Life Technologies) and were incubated for 1 hour at room temperature. Finally, for both murine and human specimens, nuclei were counterstained with DAPI (H-1200, Vector Labs, Burlingame, CA).</w:t>
      </w:r>
    </w:p>
    <w:p w14:paraId="49B861A1" w14:textId="77777777" w:rsidR="00CD1C9C" w:rsidRDefault="00CD1C9C" w:rsidP="00AF12FE">
      <w:pPr>
        <w:ind w:leftChars="0" w:left="0" w:firstLineChars="0" w:firstLine="0"/>
        <w:rPr>
          <w:sz w:val="22"/>
          <w:szCs w:val="22"/>
        </w:rPr>
      </w:pPr>
    </w:p>
    <w:p w14:paraId="531F990B" w14:textId="389B64D0" w:rsidR="00CD1C9C" w:rsidRDefault="00CD1C9C" w:rsidP="00CD1C9C">
      <w:pPr>
        <w:ind w:left="0" w:hanging="2"/>
        <w:rPr>
          <w:b/>
          <w:bCs/>
          <w:sz w:val="22"/>
          <w:szCs w:val="22"/>
        </w:rPr>
      </w:pPr>
      <w:r w:rsidRPr="00CD1C9C">
        <w:rPr>
          <w:b/>
          <w:bCs/>
          <w:sz w:val="22"/>
          <w:szCs w:val="22"/>
        </w:rPr>
        <w:t>Blood Pressure Measurements in the Mouse Intracranial Aneurysm Model</w:t>
      </w:r>
    </w:p>
    <w:p w14:paraId="498B17A4" w14:textId="3F67BA9A" w:rsidR="00CD1C9C" w:rsidRDefault="00CD1C9C" w:rsidP="00CD1C9C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 xml:space="preserve">Blood pressure measurements in the intracranial model was performed via the tail-cuff method using CODA </w:t>
      </w:r>
      <w:r w:rsidRPr="00CD1C9C">
        <w:rPr>
          <w:sz w:val="22"/>
          <w:szCs w:val="22"/>
        </w:rPr>
        <w:t>Noninvasive Blood Pressure System</w:t>
      </w:r>
      <w:r>
        <w:rPr>
          <w:sz w:val="22"/>
          <w:szCs w:val="22"/>
        </w:rPr>
        <w:t xml:space="preserve"> with 4 activated channels (Kent Scientific, </w:t>
      </w:r>
      <w:r w:rsidRPr="00CD1C9C">
        <w:rPr>
          <w:sz w:val="22"/>
          <w:szCs w:val="22"/>
        </w:rPr>
        <w:t>Torrington, CT 06790, USA</w:t>
      </w:r>
      <w:r>
        <w:rPr>
          <w:sz w:val="22"/>
          <w:szCs w:val="22"/>
        </w:rPr>
        <w:t>). Systolic blood pressure measurements were not found to be significantly different across different at 2 weeks between different groups</w:t>
      </w:r>
      <w:r w:rsidR="00F27F31">
        <w:rPr>
          <w:sz w:val="22"/>
          <w:szCs w:val="22"/>
        </w:rPr>
        <w:t xml:space="preserve"> (</w:t>
      </w:r>
      <w:r w:rsidR="00F27F31" w:rsidRPr="00F27F31">
        <w:rPr>
          <w:b/>
          <w:bCs/>
          <w:sz w:val="22"/>
          <w:szCs w:val="22"/>
        </w:rPr>
        <w:t>Supplementa</w:t>
      </w:r>
      <w:r w:rsidR="00F27F31">
        <w:rPr>
          <w:b/>
          <w:bCs/>
          <w:sz w:val="22"/>
          <w:szCs w:val="22"/>
        </w:rPr>
        <w:t>ry</w:t>
      </w:r>
      <w:r w:rsidR="00F27F31" w:rsidRPr="00F27F31">
        <w:rPr>
          <w:b/>
          <w:bCs/>
          <w:sz w:val="22"/>
          <w:szCs w:val="22"/>
        </w:rPr>
        <w:t xml:space="preserve"> Figure 4</w:t>
      </w:r>
      <w:r w:rsidR="00F27F31">
        <w:rPr>
          <w:sz w:val="22"/>
          <w:szCs w:val="22"/>
        </w:rPr>
        <w:t>)</w:t>
      </w:r>
      <w:r>
        <w:rPr>
          <w:sz w:val="22"/>
          <w:szCs w:val="22"/>
        </w:rPr>
        <w:t xml:space="preserve">. </w:t>
      </w:r>
    </w:p>
    <w:p w14:paraId="7A2287B9" w14:textId="77777777" w:rsidR="00AF12FE" w:rsidRDefault="00AF12FE" w:rsidP="00CD1C9C">
      <w:pPr>
        <w:ind w:left="0" w:hanging="2"/>
        <w:rPr>
          <w:sz w:val="22"/>
          <w:szCs w:val="22"/>
        </w:rPr>
      </w:pPr>
    </w:p>
    <w:p w14:paraId="1D814036" w14:textId="080E08F2" w:rsidR="00AF12FE" w:rsidRPr="00AF12FE" w:rsidRDefault="00AF12FE" w:rsidP="00CD1C9C">
      <w:pPr>
        <w:ind w:left="0" w:hanging="2"/>
        <w:rPr>
          <w:b/>
          <w:bCs/>
          <w:sz w:val="22"/>
          <w:szCs w:val="22"/>
        </w:rPr>
      </w:pPr>
      <w:r w:rsidRPr="00AF12FE">
        <w:rPr>
          <w:b/>
          <w:bCs/>
          <w:sz w:val="22"/>
          <w:szCs w:val="22"/>
        </w:rPr>
        <w:t>Statistical Analysis</w:t>
      </w:r>
    </w:p>
    <w:p w14:paraId="3F678139" w14:textId="77777777" w:rsidR="00AF12FE" w:rsidRDefault="00AF12FE" w:rsidP="00CD1C9C">
      <w:pPr>
        <w:ind w:left="0" w:hanging="2"/>
        <w:rPr>
          <w:sz w:val="22"/>
          <w:szCs w:val="22"/>
        </w:rPr>
      </w:pPr>
    </w:p>
    <w:p w14:paraId="3D897398" w14:textId="77777777" w:rsidR="00AF12FE" w:rsidRDefault="00AF12FE" w:rsidP="00AF12FE">
      <w:pPr>
        <w:ind w:left="0" w:hanging="2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REACTOME Data Model Analysis</w:t>
      </w:r>
    </w:p>
    <w:p w14:paraId="0FA81064" w14:textId="2F4D22DD" w:rsidR="00AF12FE" w:rsidRDefault="00AF12FE" w:rsidP="00AF12FE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In silico analysis of in vitro data using REACTOME data model was used to evaluate for network of 718 biological interactions.</w:t>
      </w:r>
      <w:r w:rsidR="002728FC">
        <w:rPr>
          <w:sz w:val="22"/>
          <w:szCs w:val="22"/>
          <w:vertAlign w:val="superscript"/>
        </w:rPr>
        <w:t>1,2</w:t>
      </w:r>
      <w:r>
        <w:rPr>
          <w:sz w:val="22"/>
          <w:szCs w:val="22"/>
        </w:rPr>
        <w:t xml:space="preserve"> All non-human interactors were converted to their human equivalents. </w:t>
      </w:r>
      <w:proofErr w:type="spellStart"/>
      <w:r>
        <w:rPr>
          <w:sz w:val="22"/>
          <w:szCs w:val="22"/>
        </w:rPr>
        <w:t>IntAct</w:t>
      </w:r>
      <w:proofErr w:type="spellEnd"/>
      <w:r>
        <w:rPr>
          <w:sz w:val="22"/>
          <w:szCs w:val="22"/>
        </w:rPr>
        <w:t xml:space="preserve"> interactors were included to expand background analysis. Pathways and interactions with p-values &lt; 0.01 were considered as marginally significant, &lt; 0.</w:t>
      </w:r>
      <w:r w:rsidRPr="00350DB8">
        <w:rPr>
          <w:sz w:val="22"/>
          <w:szCs w:val="22"/>
        </w:rPr>
        <w:t>0027 as significant (3-sigma), and &lt; 0.00006 as highly significant (5-sigma)</w:t>
      </w:r>
      <w:r w:rsidR="00F27F31">
        <w:rPr>
          <w:sz w:val="22"/>
          <w:szCs w:val="22"/>
        </w:rPr>
        <w:t xml:space="preserve"> (</w:t>
      </w:r>
      <w:r w:rsidR="00F27F31" w:rsidRPr="00F27F31">
        <w:rPr>
          <w:b/>
          <w:bCs/>
          <w:sz w:val="22"/>
          <w:szCs w:val="22"/>
        </w:rPr>
        <w:t>Supplementa</w:t>
      </w:r>
      <w:r w:rsidR="00F27F31">
        <w:rPr>
          <w:b/>
          <w:bCs/>
          <w:sz w:val="22"/>
          <w:szCs w:val="22"/>
        </w:rPr>
        <w:t>ry</w:t>
      </w:r>
      <w:r w:rsidR="00F27F31" w:rsidRPr="00F27F31">
        <w:rPr>
          <w:b/>
          <w:bCs/>
          <w:sz w:val="22"/>
          <w:szCs w:val="22"/>
        </w:rPr>
        <w:t xml:space="preserve"> Figure 5</w:t>
      </w:r>
      <w:r w:rsidR="00F27F31">
        <w:rPr>
          <w:sz w:val="22"/>
          <w:szCs w:val="22"/>
        </w:rPr>
        <w:t>).</w:t>
      </w:r>
    </w:p>
    <w:p w14:paraId="501F163A" w14:textId="77777777" w:rsidR="00AF12FE" w:rsidRDefault="00AF12FE" w:rsidP="00AF12FE">
      <w:pPr>
        <w:ind w:left="0" w:hanging="2"/>
        <w:rPr>
          <w:sz w:val="22"/>
          <w:szCs w:val="22"/>
        </w:rPr>
      </w:pPr>
    </w:p>
    <w:p w14:paraId="1B75F907" w14:textId="17DF36E5" w:rsidR="002728FC" w:rsidRDefault="002728FC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949AF41" w14:textId="5C006C69" w:rsidR="002728FC" w:rsidRPr="002728FC" w:rsidRDefault="002728FC" w:rsidP="00AF12FE">
      <w:pPr>
        <w:ind w:left="0" w:hanging="2"/>
        <w:rPr>
          <w:b/>
          <w:bCs/>
        </w:rPr>
      </w:pPr>
      <w:r w:rsidRPr="002728FC">
        <w:rPr>
          <w:b/>
          <w:bCs/>
        </w:rPr>
        <w:lastRenderedPageBreak/>
        <w:t>References:</w:t>
      </w:r>
    </w:p>
    <w:p w14:paraId="53A3B821" w14:textId="77777777" w:rsidR="002728FC" w:rsidRDefault="002728FC" w:rsidP="00AF12FE">
      <w:pPr>
        <w:ind w:left="0" w:hanging="2"/>
        <w:rPr>
          <w:sz w:val="22"/>
          <w:szCs w:val="22"/>
        </w:rPr>
      </w:pPr>
    </w:p>
    <w:p w14:paraId="6AA9A556" w14:textId="417FCD23" w:rsidR="002728FC" w:rsidRDefault="002728FC" w:rsidP="00AF12FE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Pr="002728FC">
        <w:rPr>
          <w:sz w:val="22"/>
          <w:szCs w:val="22"/>
        </w:rPr>
        <w:t xml:space="preserve">Griss J, Viteri G, Sidiropoulos K, Nguyen V, </w:t>
      </w:r>
      <w:proofErr w:type="spellStart"/>
      <w:r w:rsidRPr="002728FC">
        <w:rPr>
          <w:sz w:val="22"/>
          <w:szCs w:val="22"/>
        </w:rPr>
        <w:t>Fabregat</w:t>
      </w:r>
      <w:proofErr w:type="spellEnd"/>
      <w:r w:rsidRPr="002728FC">
        <w:rPr>
          <w:sz w:val="22"/>
          <w:szCs w:val="22"/>
        </w:rPr>
        <w:t xml:space="preserve"> A, </w:t>
      </w:r>
      <w:proofErr w:type="spellStart"/>
      <w:r w:rsidRPr="002728FC">
        <w:rPr>
          <w:sz w:val="22"/>
          <w:szCs w:val="22"/>
        </w:rPr>
        <w:t>Hermjakob</w:t>
      </w:r>
      <w:proofErr w:type="spellEnd"/>
      <w:r w:rsidRPr="002728FC">
        <w:rPr>
          <w:sz w:val="22"/>
          <w:szCs w:val="22"/>
        </w:rPr>
        <w:t xml:space="preserve"> H. </w:t>
      </w:r>
      <w:proofErr w:type="spellStart"/>
      <w:r w:rsidRPr="002728FC">
        <w:rPr>
          <w:sz w:val="22"/>
          <w:szCs w:val="22"/>
        </w:rPr>
        <w:t>ReactomeGSA</w:t>
      </w:r>
      <w:proofErr w:type="spellEnd"/>
      <w:r w:rsidRPr="002728FC">
        <w:rPr>
          <w:sz w:val="22"/>
          <w:szCs w:val="22"/>
        </w:rPr>
        <w:t xml:space="preserve"> - Efficient Multi-Omics Comparative Pathway Analysis. Mol Cell Proteomics. 2020 Sep 9. </w:t>
      </w:r>
      <w:proofErr w:type="spellStart"/>
      <w:r w:rsidRPr="002728FC">
        <w:rPr>
          <w:sz w:val="22"/>
          <w:szCs w:val="22"/>
        </w:rPr>
        <w:t>doi</w:t>
      </w:r>
      <w:proofErr w:type="spellEnd"/>
      <w:r w:rsidRPr="002728FC">
        <w:rPr>
          <w:sz w:val="22"/>
          <w:szCs w:val="22"/>
        </w:rPr>
        <w:t>: 10.1074/</w:t>
      </w:r>
      <w:proofErr w:type="spellStart"/>
      <w:r w:rsidRPr="002728FC">
        <w:rPr>
          <w:sz w:val="22"/>
          <w:szCs w:val="22"/>
        </w:rPr>
        <w:t>mcp</w:t>
      </w:r>
      <w:proofErr w:type="spellEnd"/>
      <w:r w:rsidRPr="002728FC">
        <w:rPr>
          <w:sz w:val="22"/>
          <w:szCs w:val="22"/>
        </w:rPr>
        <w:t>. PubMed PMID: 32907876.</w:t>
      </w:r>
    </w:p>
    <w:p w14:paraId="67006B47" w14:textId="77777777" w:rsidR="002728FC" w:rsidRDefault="002728FC" w:rsidP="00AF12FE">
      <w:pPr>
        <w:ind w:left="0" w:hanging="2"/>
        <w:rPr>
          <w:sz w:val="22"/>
          <w:szCs w:val="22"/>
        </w:rPr>
      </w:pPr>
    </w:p>
    <w:p w14:paraId="7665984A" w14:textId="514BDF40" w:rsidR="002728FC" w:rsidRDefault="002728FC" w:rsidP="00AF12FE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 xml:space="preserve">2. </w:t>
      </w:r>
      <w:r w:rsidRPr="002728FC">
        <w:rPr>
          <w:sz w:val="22"/>
          <w:szCs w:val="22"/>
        </w:rPr>
        <w:t>Sidiropoulos K, Viteri G, Sevilla C, Jupe S, Webber M, Orlic-</w:t>
      </w:r>
      <w:proofErr w:type="spellStart"/>
      <w:r w:rsidRPr="002728FC">
        <w:rPr>
          <w:sz w:val="22"/>
          <w:szCs w:val="22"/>
        </w:rPr>
        <w:t>Milacic</w:t>
      </w:r>
      <w:proofErr w:type="spellEnd"/>
      <w:r w:rsidRPr="002728FC">
        <w:rPr>
          <w:sz w:val="22"/>
          <w:szCs w:val="22"/>
        </w:rPr>
        <w:t xml:space="preserve"> M, Jassal B, May B, </w:t>
      </w:r>
      <w:proofErr w:type="spellStart"/>
      <w:r w:rsidRPr="002728FC">
        <w:rPr>
          <w:sz w:val="22"/>
          <w:szCs w:val="22"/>
        </w:rPr>
        <w:t>Shamovsky</w:t>
      </w:r>
      <w:proofErr w:type="spellEnd"/>
      <w:r w:rsidRPr="002728FC">
        <w:rPr>
          <w:sz w:val="22"/>
          <w:szCs w:val="22"/>
        </w:rPr>
        <w:t xml:space="preserve"> V, Duenas C, </w:t>
      </w:r>
      <w:proofErr w:type="spellStart"/>
      <w:r w:rsidRPr="002728FC">
        <w:rPr>
          <w:sz w:val="22"/>
          <w:szCs w:val="22"/>
        </w:rPr>
        <w:t>Rothfels</w:t>
      </w:r>
      <w:proofErr w:type="spellEnd"/>
      <w:r w:rsidRPr="002728FC">
        <w:rPr>
          <w:sz w:val="22"/>
          <w:szCs w:val="22"/>
        </w:rPr>
        <w:t xml:space="preserve"> K, Matthews L, Song H, Stein L, Haw R, </w:t>
      </w:r>
      <w:proofErr w:type="spellStart"/>
      <w:r w:rsidRPr="002728FC">
        <w:rPr>
          <w:sz w:val="22"/>
          <w:szCs w:val="22"/>
        </w:rPr>
        <w:t>D'Eustachio</w:t>
      </w:r>
      <w:proofErr w:type="spellEnd"/>
      <w:r w:rsidRPr="002728FC">
        <w:rPr>
          <w:sz w:val="22"/>
          <w:szCs w:val="22"/>
        </w:rPr>
        <w:t xml:space="preserve"> P, Ping P, </w:t>
      </w:r>
      <w:proofErr w:type="spellStart"/>
      <w:r w:rsidRPr="002728FC">
        <w:rPr>
          <w:sz w:val="22"/>
          <w:szCs w:val="22"/>
        </w:rPr>
        <w:t>Hermjakob</w:t>
      </w:r>
      <w:proofErr w:type="spellEnd"/>
      <w:r w:rsidRPr="002728FC">
        <w:rPr>
          <w:sz w:val="22"/>
          <w:szCs w:val="22"/>
        </w:rPr>
        <w:t xml:space="preserve"> H, </w:t>
      </w:r>
      <w:proofErr w:type="spellStart"/>
      <w:r w:rsidRPr="002728FC">
        <w:rPr>
          <w:sz w:val="22"/>
          <w:szCs w:val="22"/>
        </w:rPr>
        <w:t>Fabregat</w:t>
      </w:r>
      <w:proofErr w:type="spellEnd"/>
      <w:r w:rsidRPr="002728FC">
        <w:rPr>
          <w:sz w:val="22"/>
          <w:szCs w:val="22"/>
        </w:rPr>
        <w:t xml:space="preserve"> A. </w:t>
      </w:r>
      <w:proofErr w:type="spellStart"/>
      <w:r w:rsidRPr="002728FC">
        <w:rPr>
          <w:sz w:val="22"/>
          <w:szCs w:val="22"/>
        </w:rPr>
        <w:t>Reactome</w:t>
      </w:r>
      <w:proofErr w:type="spellEnd"/>
      <w:r w:rsidRPr="002728FC">
        <w:rPr>
          <w:sz w:val="22"/>
          <w:szCs w:val="22"/>
        </w:rPr>
        <w:t xml:space="preserve"> enhanced pathway visualization. Bioinformatics. 2017 Nov 1;33(21):3461-3467. </w:t>
      </w:r>
      <w:proofErr w:type="spellStart"/>
      <w:r w:rsidRPr="002728FC">
        <w:rPr>
          <w:sz w:val="22"/>
          <w:szCs w:val="22"/>
        </w:rPr>
        <w:t>doi</w:t>
      </w:r>
      <w:proofErr w:type="spellEnd"/>
      <w:r w:rsidRPr="002728FC">
        <w:rPr>
          <w:sz w:val="22"/>
          <w:szCs w:val="22"/>
        </w:rPr>
        <w:t>: 10.1093/bioinformatics/btx441. PubMed PMID: 29077811.</w:t>
      </w:r>
    </w:p>
    <w:p w14:paraId="6C9D87DD" w14:textId="77777777" w:rsidR="00AF12FE" w:rsidRDefault="00AF12FE" w:rsidP="00AF12FE">
      <w:pPr>
        <w:ind w:left="0" w:hanging="2"/>
        <w:rPr>
          <w:sz w:val="22"/>
          <w:szCs w:val="22"/>
        </w:rPr>
      </w:pPr>
    </w:p>
    <w:p w14:paraId="1CF9DCD6" w14:textId="77777777" w:rsidR="00AF12FE" w:rsidRDefault="00AF12FE" w:rsidP="00AF12FE">
      <w:pPr>
        <w:ind w:left="0" w:hanging="2"/>
        <w:rPr>
          <w:sz w:val="22"/>
          <w:szCs w:val="22"/>
        </w:rPr>
      </w:pPr>
    </w:p>
    <w:p w14:paraId="53C0BF1D" w14:textId="77777777" w:rsidR="004F7420" w:rsidRDefault="004F7420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b/>
          <w:bCs/>
        </w:rPr>
      </w:pPr>
      <w:r>
        <w:rPr>
          <w:b/>
          <w:bCs/>
        </w:rPr>
        <w:br w:type="page"/>
      </w:r>
    </w:p>
    <w:p w14:paraId="3CF5527C" w14:textId="04CD519E" w:rsidR="004F7420" w:rsidRDefault="004F7420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b/>
          <w:bCs/>
        </w:rPr>
      </w:pPr>
      <w:r>
        <w:rPr>
          <w:b/>
          <w:bCs/>
        </w:rPr>
        <w:lastRenderedPageBreak/>
        <w:t>Tables:</w:t>
      </w:r>
    </w:p>
    <w:p w14:paraId="3ED65107" w14:textId="47430835" w:rsidR="004F7420" w:rsidRDefault="004F7420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b/>
          <w:bCs/>
        </w:rPr>
      </w:pPr>
      <w:r>
        <w:rPr>
          <w:b/>
          <w:bCs/>
        </w:rPr>
        <w:t xml:space="preserve">Supplementary Table 1. </w:t>
      </w:r>
      <w:r w:rsidRPr="004F7420">
        <w:rPr>
          <w:b/>
          <w:bCs/>
        </w:rPr>
        <w:t>Patient Demographics and Characteristics</w:t>
      </w:r>
    </w:p>
    <w:p w14:paraId="3D7562DB" w14:textId="77777777" w:rsidR="004F7420" w:rsidRDefault="004F7420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b/>
          <w:bCs/>
        </w:rPr>
      </w:pPr>
    </w:p>
    <w:tbl>
      <w:tblPr>
        <w:tblStyle w:val="TableGrid"/>
        <w:tblW w:w="0" w:type="auto"/>
        <w:tblInd w:w="-365" w:type="dxa"/>
        <w:tblLook w:val="04A0" w:firstRow="1" w:lastRow="0" w:firstColumn="1" w:lastColumn="0" w:noHBand="0" w:noVBand="1"/>
      </w:tblPr>
      <w:tblGrid>
        <w:gridCol w:w="3420"/>
        <w:gridCol w:w="2520"/>
        <w:gridCol w:w="2520"/>
        <w:gridCol w:w="1255"/>
      </w:tblGrid>
      <w:tr w:rsidR="004F7420" w14:paraId="5A9180A9" w14:textId="77777777" w:rsidTr="00E17DD2">
        <w:tc>
          <w:tcPr>
            <w:tcW w:w="3420" w:type="dxa"/>
          </w:tcPr>
          <w:p w14:paraId="1E44159B" w14:textId="77777777" w:rsidR="004F7420" w:rsidRPr="00122CC0" w:rsidRDefault="004F7420" w:rsidP="00D46554">
            <w:pPr>
              <w:ind w:left="0" w:hanging="2"/>
              <w:jc w:val="center"/>
              <w:rPr>
                <w:b/>
                <w:bCs/>
                <w:u w:val="single"/>
              </w:rPr>
            </w:pPr>
            <w:r w:rsidRPr="00122CC0">
              <w:rPr>
                <w:b/>
                <w:bCs/>
                <w:u w:val="single"/>
              </w:rPr>
              <w:t>Variable</w:t>
            </w:r>
          </w:p>
        </w:tc>
        <w:tc>
          <w:tcPr>
            <w:tcW w:w="2520" w:type="dxa"/>
          </w:tcPr>
          <w:p w14:paraId="34FDAD82" w14:textId="77777777" w:rsidR="004F7420" w:rsidRPr="00122CC0" w:rsidRDefault="004F7420" w:rsidP="00D46554">
            <w:pPr>
              <w:ind w:left="0" w:hanging="2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Cerebral Aneurysm Patients</w:t>
            </w:r>
          </w:p>
        </w:tc>
        <w:tc>
          <w:tcPr>
            <w:tcW w:w="2520" w:type="dxa"/>
          </w:tcPr>
          <w:p w14:paraId="02F611AC" w14:textId="77777777" w:rsidR="004F7420" w:rsidRPr="00122CC0" w:rsidRDefault="004F7420" w:rsidP="00D46554">
            <w:pPr>
              <w:ind w:left="0" w:hanging="2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Control Patients</w:t>
            </w:r>
          </w:p>
        </w:tc>
        <w:tc>
          <w:tcPr>
            <w:tcW w:w="1255" w:type="dxa"/>
          </w:tcPr>
          <w:p w14:paraId="3510A4DD" w14:textId="77777777" w:rsidR="004F7420" w:rsidRDefault="004F7420" w:rsidP="00D46554">
            <w:pPr>
              <w:ind w:left="0" w:hanging="2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p-value</w:t>
            </w:r>
          </w:p>
        </w:tc>
      </w:tr>
      <w:tr w:rsidR="004F7420" w14:paraId="2486783A" w14:textId="77777777" w:rsidTr="00E17DD2">
        <w:tc>
          <w:tcPr>
            <w:tcW w:w="3420" w:type="dxa"/>
          </w:tcPr>
          <w:p w14:paraId="1B01C417" w14:textId="77777777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Total Patients, n </w:t>
            </w:r>
          </w:p>
        </w:tc>
        <w:tc>
          <w:tcPr>
            <w:tcW w:w="2520" w:type="dxa"/>
          </w:tcPr>
          <w:p w14:paraId="2DCC6107" w14:textId="11B66697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520" w:type="dxa"/>
          </w:tcPr>
          <w:p w14:paraId="14B305A3" w14:textId="152B7381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255" w:type="dxa"/>
          </w:tcPr>
          <w:p w14:paraId="32EC0B9E" w14:textId="77777777" w:rsidR="004F7420" w:rsidRDefault="004F7420" w:rsidP="00D46554">
            <w:pPr>
              <w:ind w:left="0" w:hanging="2"/>
              <w:jc w:val="center"/>
            </w:pPr>
          </w:p>
        </w:tc>
      </w:tr>
      <w:tr w:rsidR="004F7420" w14:paraId="503E27F9" w14:textId="77777777" w:rsidTr="00E17DD2">
        <w:tc>
          <w:tcPr>
            <w:tcW w:w="3420" w:type="dxa"/>
          </w:tcPr>
          <w:p w14:paraId="55BF1C04" w14:textId="2CEE540E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Age, me</w:t>
            </w:r>
            <w:r w:rsidR="002D40BA">
              <w:rPr>
                <w:rFonts w:ascii="Calibri" w:hAnsi="Calibri" w:cs="Calibri"/>
                <w:b/>
                <w:bCs/>
                <w:color w:val="000000"/>
              </w:rPr>
              <w:t>an</w:t>
            </w:r>
            <w:r w:rsidR="00CD17F7">
              <w:rPr>
                <w:rFonts w:ascii="Calibri" w:hAnsi="Calibri" w:cs="Calibri"/>
                <w:b/>
                <w:bCs/>
                <w:color w:val="000000"/>
              </w:rPr>
              <w:t>, median</w:t>
            </w:r>
            <w:r w:rsidR="002D40BA">
              <w:rPr>
                <w:rFonts w:ascii="Calibri" w:hAnsi="Calibri" w:cs="Calibri"/>
                <w:b/>
                <w:bCs/>
                <w:color w:val="000000"/>
              </w:rPr>
              <w:t xml:space="preserve"> +/-</w:t>
            </w:r>
            <w:r w:rsidRPr="00986914">
              <w:rPr>
                <w:rFonts w:ascii="Calibri" w:hAnsi="Calibri" w:cs="Calibri"/>
                <w:b/>
                <w:bCs/>
                <w:color w:val="000000"/>
              </w:rPr>
              <w:t xml:space="preserve"> (Interquartile Range) </w:t>
            </w:r>
          </w:p>
        </w:tc>
        <w:tc>
          <w:tcPr>
            <w:tcW w:w="2520" w:type="dxa"/>
          </w:tcPr>
          <w:p w14:paraId="1FA2A237" w14:textId="7BD225FE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54.5</w:t>
            </w:r>
            <w:r w:rsidR="00CD17F7">
              <w:rPr>
                <w:rFonts w:ascii="Calibri" w:hAnsi="Calibri" w:cs="Calibri"/>
                <w:color w:val="000000"/>
              </w:rPr>
              <w:t>, 55</w:t>
            </w:r>
            <w:r>
              <w:rPr>
                <w:rFonts w:ascii="Calibri" w:hAnsi="Calibri" w:cs="Calibri"/>
                <w:color w:val="000000"/>
              </w:rPr>
              <w:t xml:space="preserve"> +/- </w:t>
            </w:r>
            <w:r w:rsidR="002D40BA">
              <w:rPr>
                <w:rFonts w:ascii="Calibri" w:hAnsi="Calibri" w:cs="Calibri"/>
                <w:color w:val="000000"/>
              </w:rPr>
              <w:t>6</w:t>
            </w:r>
            <w:r>
              <w:rPr>
                <w:rFonts w:ascii="Calibri" w:hAnsi="Calibri" w:cs="Calibri"/>
                <w:color w:val="000000"/>
              </w:rPr>
              <w:t>.75</w:t>
            </w:r>
          </w:p>
        </w:tc>
        <w:tc>
          <w:tcPr>
            <w:tcW w:w="2520" w:type="dxa"/>
          </w:tcPr>
          <w:p w14:paraId="3D35ECE0" w14:textId="410C9671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54.3</w:t>
            </w:r>
            <w:r w:rsidR="00CD17F7">
              <w:rPr>
                <w:rFonts w:ascii="Calibri" w:hAnsi="Calibri" w:cs="Calibri"/>
                <w:color w:val="000000"/>
              </w:rPr>
              <w:t>, 55</w:t>
            </w:r>
            <w:r>
              <w:rPr>
                <w:rFonts w:ascii="Calibri" w:hAnsi="Calibri" w:cs="Calibri"/>
                <w:color w:val="000000"/>
              </w:rPr>
              <w:t xml:space="preserve"> +/- </w:t>
            </w:r>
            <w:r w:rsidR="002D40BA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255" w:type="dxa"/>
          </w:tcPr>
          <w:p w14:paraId="58CD1F7F" w14:textId="0A688AEA" w:rsidR="004F7420" w:rsidRPr="002D40BA" w:rsidRDefault="002D40BA" w:rsidP="00D46554">
            <w:pPr>
              <w:ind w:left="0" w:hanging="2"/>
              <w:jc w:val="center"/>
            </w:pPr>
            <w:r w:rsidRPr="002D40BA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4F7420" w14:paraId="243B8679" w14:textId="77777777" w:rsidTr="00E17DD2">
        <w:tc>
          <w:tcPr>
            <w:tcW w:w="3420" w:type="dxa"/>
          </w:tcPr>
          <w:p w14:paraId="7B905751" w14:textId="77777777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Female Sex, n (%) </w:t>
            </w:r>
          </w:p>
        </w:tc>
        <w:tc>
          <w:tcPr>
            <w:tcW w:w="2520" w:type="dxa"/>
          </w:tcPr>
          <w:p w14:paraId="6B72B2C9" w14:textId="3B2F1570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13</w:t>
            </w:r>
            <w:r w:rsidR="004F7420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61.9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2520" w:type="dxa"/>
          </w:tcPr>
          <w:p w14:paraId="2A41CCAC" w14:textId="2E3533F7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11</w:t>
            </w:r>
            <w:r w:rsidR="004F7420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57.9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255" w:type="dxa"/>
          </w:tcPr>
          <w:p w14:paraId="39559B81" w14:textId="1A3CC813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&gt;</w:t>
            </w:r>
            <w:r w:rsidR="004F7420">
              <w:rPr>
                <w:rFonts w:ascii="Calibri" w:hAnsi="Calibri" w:cs="Calibri"/>
                <w:color w:val="000000"/>
              </w:rPr>
              <w:t>0.9</w:t>
            </w:r>
            <w:r>
              <w:rPr>
                <w:rFonts w:ascii="Calibri" w:hAnsi="Calibri" w:cs="Calibri"/>
                <w:color w:val="000000"/>
              </w:rPr>
              <w:t>99</w:t>
            </w:r>
          </w:p>
        </w:tc>
      </w:tr>
      <w:tr w:rsidR="004F7420" w14:paraId="4CB04586" w14:textId="77777777" w:rsidTr="00E17DD2">
        <w:tc>
          <w:tcPr>
            <w:tcW w:w="3420" w:type="dxa"/>
          </w:tcPr>
          <w:p w14:paraId="2B1DF691" w14:textId="1AF445B2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Current or Former Smoker, n (%) </w:t>
            </w:r>
            <w:r w:rsidR="00CD17F7">
              <w:rPr>
                <w:rFonts w:ascii="Calibri" w:hAnsi="Calibri" w:cs="Calibri"/>
                <w:b/>
                <w:bCs/>
                <w:color w:val="000000"/>
              </w:rPr>
              <w:t>*</w:t>
            </w:r>
          </w:p>
        </w:tc>
        <w:tc>
          <w:tcPr>
            <w:tcW w:w="2520" w:type="dxa"/>
          </w:tcPr>
          <w:p w14:paraId="3788EB9F" w14:textId="0736DB78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12 out of 21</w:t>
            </w:r>
            <w:r w:rsidR="004F7420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57.1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2520" w:type="dxa"/>
          </w:tcPr>
          <w:p w14:paraId="1AC40F87" w14:textId="6369FCA5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5 out of 8</w:t>
            </w:r>
            <w:r w:rsidR="004F7420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62.5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255" w:type="dxa"/>
          </w:tcPr>
          <w:p w14:paraId="6E945C92" w14:textId="738841B6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&gt;0.999</w:t>
            </w:r>
          </w:p>
        </w:tc>
      </w:tr>
      <w:tr w:rsidR="004F7420" w14:paraId="724C1409" w14:textId="77777777" w:rsidTr="00E17DD2">
        <w:tc>
          <w:tcPr>
            <w:tcW w:w="3420" w:type="dxa"/>
          </w:tcPr>
          <w:p w14:paraId="21680285" w14:textId="77777777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Aspirin Use, n (%) </w:t>
            </w:r>
          </w:p>
        </w:tc>
        <w:tc>
          <w:tcPr>
            <w:tcW w:w="2520" w:type="dxa"/>
          </w:tcPr>
          <w:p w14:paraId="2E355DD1" w14:textId="08D00DC2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3 </w:t>
            </w:r>
            <w:r w:rsidR="004F7420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14.3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2520" w:type="dxa"/>
          </w:tcPr>
          <w:p w14:paraId="505CE8ED" w14:textId="30AC8ACB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2 </w:t>
            </w:r>
            <w:r w:rsidR="004F7420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10.5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255" w:type="dxa"/>
          </w:tcPr>
          <w:p w14:paraId="1760A950" w14:textId="5852112F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&gt;0.999</w:t>
            </w:r>
          </w:p>
        </w:tc>
      </w:tr>
      <w:tr w:rsidR="004F7420" w14:paraId="452E3F03" w14:textId="77777777" w:rsidTr="00E17DD2">
        <w:tc>
          <w:tcPr>
            <w:tcW w:w="3420" w:type="dxa"/>
          </w:tcPr>
          <w:p w14:paraId="4267FE51" w14:textId="1E91573A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Size in maximum dimension (mm), me</w:t>
            </w:r>
            <w:r w:rsidR="002D40BA">
              <w:rPr>
                <w:rFonts w:ascii="Calibri" w:hAnsi="Calibri" w:cs="Calibri"/>
                <w:b/>
                <w:bCs/>
                <w:color w:val="000000"/>
              </w:rPr>
              <w:t>an</w:t>
            </w:r>
            <w:r w:rsidRPr="00986914">
              <w:rPr>
                <w:rFonts w:ascii="Calibri" w:hAnsi="Calibri" w:cs="Calibri"/>
                <w:b/>
                <w:bCs/>
                <w:color w:val="000000"/>
              </w:rPr>
              <w:t xml:space="preserve"> (</w:t>
            </w:r>
            <w:r w:rsidR="002D40BA">
              <w:rPr>
                <w:rFonts w:ascii="Calibri" w:hAnsi="Calibri" w:cs="Calibri"/>
                <w:b/>
                <w:bCs/>
                <w:color w:val="000000"/>
              </w:rPr>
              <w:t>Standard Deviation</w:t>
            </w:r>
            <w:r w:rsidRPr="00986914">
              <w:rPr>
                <w:rFonts w:ascii="Calibri" w:hAnsi="Calibri" w:cs="Calibri"/>
                <w:b/>
                <w:bCs/>
                <w:color w:val="000000"/>
              </w:rPr>
              <w:t>) </w:t>
            </w:r>
          </w:p>
        </w:tc>
        <w:tc>
          <w:tcPr>
            <w:tcW w:w="2520" w:type="dxa"/>
          </w:tcPr>
          <w:p w14:paraId="2A94363B" w14:textId="77777777" w:rsidR="004F7420" w:rsidRDefault="004F7420" w:rsidP="00D46554">
            <w:pPr>
              <w:ind w:left="0" w:hanging="2"/>
              <w:jc w:val="center"/>
              <w:rPr>
                <w:rFonts w:ascii="Calibri" w:hAnsi="Calibri" w:cs="Calibri"/>
                <w:color w:val="000000"/>
              </w:rPr>
            </w:pPr>
          </w:p>
          <w:p w14:paraId="12F12FE1" w14:textId="59EB77EB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6.8</w:t>
            </w:r>
            <w:r w:rsidR="004F7420">
              <w:rPr>
                <w:rFonts w:ascii="Calibri" w:hAnsi="Calibri" w:cs="Calibri"/>
                <w:color w:val="000000"/>
              </w:rPr>
              <w:t xml:space="preserve"> +/- 3.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20" w:type="dxa"/>
          </w:tcPr>
          <w:p w14:paraId="49C6984A" w14:textId="77777777" w:rsidR="004F7420" w:rsidRDefault="004F7420" w:rsidP="00D46554">
            <w:pPr>
              <w:ind w:left="0" w:hanging="2"/>
              <w:jc w:val="center"/>
              <w:rPr>
                <w:rFonts w:ascii="Calibri" w:hAnsi="Calibri" w:cs="Calibri"/>
                <w:color w:val="000000"/>
              </w:rPr>
            </w:pPr>
          </w:p>
          <w:p w14:paraId="62CD28A5" w14:textId="77777777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N/A</w:t>
            </w:r>
          </w:p>
        </w:tc>
        <w:tc>
          <w:tcPr>
            <w:tcW w:w="1255" w:type="dxa"/>
          </w:tcPr>
          <w:p w14:paraId="739D3301" w14:textId="77777777" w:rsidR="004F7420" w:rsidRDefault="004F7420" w:rsidP="00D46554">
            <w:pPr>
              <w:ind w:left="0" w:hanging="2"/>
              <w:jc w:val="center"/>
              <w:rPr>
                <w:rFonts w:ascii="Calibri" w:hAnsi="Calibri" w:cs="Calibri"/>
                <w:color w:val="000000"/>
              </w:rPr>
            </w:pPr>
          </w:p>
          <w:p w14:paraId="70BAB13C" w14:textId="77777777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N/A</w:t>
            </w:r>
          </w:p>
        </w:tc>
      </w:tr>
      <w:tr w:rsidR="004F7420" w14:paraId="29026A58" w14:textId="77777777" w:rsidTr="00E17DD2">
        <w:tc>
          <w:tcPr>
            <w:tcW w:w="3420" w:type="dxa"/>
          </w:tcPr>
          <w:p w14:paraId="1A342571" w14:textId="77777777" w:rsidR="004F7420" w:rsidRPr="00986914" w:rsidRDefault="004F7420" w:rsidP="00D46554">
            <w:pPr>
              <w:ind w:left="0" w:hanging="2"/>
              <w:rPr>
                <w:b/>
                <w:bCs/>
              </w:rPr>
            </w:pPr>
            <w:r w:rsidRPr="00986914">
              <w:rPr>
                <w:rFonts w:ascii="Calibri" w:hAnsi="Calibri" w:cs="Calibri"/>
                <w:b/>
                <w:bCs/>
                <w:color w:val="000000"/>
              </w:rPr>
              <w:t>Ruptured Aneurysms, n (%) </w:t>
            </w:r>
          </w:p>
        </w:tc>
        <w:tc>
          <w:tcPr>
            <w:tcW w:w="2520" w:type="dxa"/>
          </w:tcPr>
          <w:p w14:paraId="5D8D213D" w14:textId="2387B9BE" w:rsidR="004F7420" w:rsidRDefault="002D40BA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2 out of 21</w:t>
            </w:r>
            <w:r w:rsidR="004F7420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9.5</w:t>
            </w:r>
            <w:r w:rsidR="004F7420"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2520" w:type="dxa"/>
          </w:tcPr>
          <w:p w14:paraId="0A40FC0D" w14:textId="77777777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N/A</w:t>
            </w:r>
          </w:p>
        </w:tc>
        <w:tc>
          <w:tcPr>
            <w:tcW w:w="1255" w:type="dxa"/>
          </w:tcPr>
          <w:p w14:paraId="7A123EDC" w14:textId="77777777" w:rsidR="004F7420" w:rsidRDefault="004F7420" w:rsidP="00D46554">
            <w:pPr>
              <w:ind w:left="0" w:hanging="2"/>
              <w:jc w:val="center"/>
            </w:pPr>
            <w:r>
              <w:rPr>
                <w:rFonts w:ascii="Calibri" w:hAnsi="Calibri" w:cs="Calibri"/>
                <w:color w:val="000000"/>
              </w:rPr>
              <w:t>N/A</w:t>
            </w:r>
          </w:p>
        </w:tc>
      </w:tr>
    </w:tbl>
    <w:p w14:paraId="7B893DAD" w14:textId="77777777" w:rsidR="00000743" w:rsidRDefault="00000743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b/>
          <w:bCs/>
        </w:rPr>
      </w:pPr>
    </w:p>
    <w:p w14:paraId="3AC63A42" w14:textId="4BF11A42" w:rsidR="00CD17F7" w:rsidRPr="00CD17F7" w:rsidRDefault="00CD17F7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</w:pPr>
      <w:r w:rsidRPr="00CD17F7">
        <w:rPr>
          <w:b/>
          <w:bCs/>
        </w:rPr>
        <w:t>*</w:t>
      </w:r>
      <w:proofErr w:type="gramStart"/>
      <w:r>
        <w:t>tobacco</w:t>
      </w:r>
      <w:proofErr w:type="gramEnd"/>
      <w:r w:rsidRPr="00CD17F7">
        <w:t xml:space="preserve"> </w:t>
      </w:r>
      <w:r>
        <w:t xml:space="preserve">use </w:t>
      </w:r>
      <w:r w:rsidRPr="00CD17F7">
        <w:t xml:space="preserve">status was only recorded for 8 out of </w:t>
      </w:r>
      <w:r>
        <w:t xml:space="preserve">the </w:t>
      </w:r>
      <w:r w:rsidRPr="00CD17F7">
        <w:t>19 control patients</w:t>
      </w:r>
    </w:p>
    <w:p w14:paraId="0BA863A6" w14:textId="3EEF4FC9" w:rsidR="00AF12FE" w:rsidRDefault="00AF12FE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b/>
          <w:bCs/>
        </w:rPr>
      </w:pPr>
      <w:r>
        <w:rPr>
          <w:b/>
          <w:bCs/>
        </w:rPr>
        <w:br w:type="page"/>
      </w:r>
    </w:p>
    <w:p w14:paraId="7EC299E3" w14:textId="7B1910DA" w:rsidR="00AF12FE" w:rsidRPr="00AF12FE" w:rsidRDefault="00AF12FE" w:rsidP="00AF12FE">
      <w:pPr>
        <w:ind w:left="0" w:hanging="2"/>
        <w:rPr>
          <w:b/>
          <w:bCs/>
        </w:rPr>
      </w:pPr>
      <w:r w:rsidRPr="00AF12FE">
        <w:rPr>
          <w:b/>
          <w:bCs/>
        </w:rPr>
        <w:lastRenderedPageBreak/>
        <w:t>Figures</w:t>
      </w:r>
      <w:r>
        <w:rPr>
          <w:b/>
          <w:bCs/>
        </w:rPr>
        <w:t>:</w:t>
      </w:r>
    </w:p>
    <w:p w14:paraId="3B9E370D" w14:textId="77777777" w:rsidR="00AF12FE" w:rsidRDefault="00AF12FE" w:rsidP="00AF12FE">
      <w:pPr>
        <w:ind w:left="0" w:hanging="2"/>
        <w:rPr>
          <w:sz w:val="22"/>
          <w:szCs w:val="22"/>
        </w:rPr>
      </w:pPr>
    </w:p>
    <w:p w14:paraId="48179710" w14:textId="4C01986B" w:rsidR="00AF12FE" w:rsidRDefault="00AF12FE" w:rsidP="00AF12FE">
      <w:pPr>
        <w:ind w:left="0" w:hanging="2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A9161CB" wp14:editId="3699F966">
            <wp:extent cx="5248910" cy="3731260"/>
            <wp:effectExtent l="0" t="0" r="0" b="0"/>
            <wp:docPr id="18063751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3731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40E7E2" w14:textId="77777777" w:rsidR="00AF12FE" w:rsidRDefault="00AF12FE" w:rsidP="00AF12FE">
      <w:pPr>
        <w:ind w:left="0" w:hanging="2"/>
        <w:rPr>
          <w:sz w:val="22"/>
          <w:szCs w:val="22"/>
        </w:rPr>
      </w:pPr>
    </w:p>
    <w:p w14:paraId="4DCC7BF7" w14:textId="77777777" w:rsidR="00AF12FE" w:rsidRPr="00AF12FE" w:rsidRDefault="00AF12FE" w:rsidP="00AF12FE">
      <w:pPr>
        <w:ind w:left="0" w:hanging="2"/>
        <w:rPr>
          <w:b/>
          <w:bCs/>
          <w:sz w:val="22"/>
          <w:szCs w:val="22"/>
        </w:rPr>
      </w:pPr>
      <w:r w:rsidRPr="00AF12FE">
        <w:rPr>
          <w:b/>
          <w:bCs/>
          <w:sz w:val="22"/>
          <w:szCs w:val="22"/>
        </w:rPr>
        <w:t xml:space="preserve">Supplementary Figure 1. Murine intracranial aneurysm model. </w:t>
      </w:r>
    </w:p>
    <w:p w14:paraId="0F4D686A" w14:textId="5C15C817" w:rsidR="00CD1C9C" w:rsidRDefault="00AF12FE" w:rsidP="00AF12FE">
      <w:pPr>
        <w:ind w:left="0" w:hanging="2"/>
        <w:rPr>
          <w:sz w:val="22"/>
          <w:szCs w:val="22"/>
        </w:rPr>
      </w:pPr>
      <w:r w:rsidRPr="00AF12FE">
        <w:rPr>
          <w:sz w:val="22"/>
          <w:szCs w:val="22"/>
        </w:rPr>
        <w:t xml:space="preserve">The model requires four surgeries on two separate days. First, on day -7, the left common carotid artery and the right renal artery are ligated to induce hypertension. One week later, an Alzet micro-osmotic pump model 1004 is implanted </w:t>
      </w:r>
      <w:proofErr w:type="spellStart"/>
      <w:r w:rsidRPr="00AF12FE">
        <w:rPr>
          <w:sz w:val="22"/>
          <w:szCs w:val="22"/>
        </w:rPr>
        <w:t>subdermally</w:t>
      </w:r>
      <w:proofErr w:type="spellEnd"/>
      <w:r w:rsidRPr="00AF12FE">
        <w:rPr>
          <w:sz w:val="22"/>
          <w:szCs w:val="22"/>
        </w:rPr>
        <w:t xml:space="preserve"> to deliver Angiotensin II at 1000ng/kg/min, and 10 </w:t>
      </w:r>
      <w:proofErr w:type="spellStart"/>
      <w:r w:rsidRPr="00AF12FE">
        <w:rPr>
          <w:sz w:val="22"/>
          <w:szCs w:val="22"/>
        </w:rPr>
        <w:t>uL</w:t>
      </w:r>
      <w:proofErr w:type="spellEnd"/>
      <w:r w:rsidRPr="00AF12FE">
        <w:rPr>
          <w:sz w:val="22"/>
          <w:szCs w:val="22"/>
        </w:rPr>
        <w:t xml:space="preserve"> of 0.8% porcine elastase in normal saline is injected into the right basal cistern using stereotactic coordinates: 1.2 mm rostral of bregma, 0.7 mm lateral of midline and 5.3 mm ventral of the dorsal aspect of the skull.  The animals are then fed a high-fat (50%) hypertensive diet with 8% NaCl and 0.12% BAPN for the remainder of the experimental period.</w:t>
      </w:r>
      <w:r w:rsidR="007A2BE5">
        <w:rPr>
          <w:sz w:val="22"/>
          <w:szCs w:val="22"/>
        </w:rPr>
        <w:t xml:space="preserve"> </w:t>
      </w:r>
      <w:r w:rsidR="007A2BE5" w:rsidRPr="007B1D09">
        <w:rPr>
          <w:sz w:val="22"/>
          <w:szCs w:val="22"/>
        </w:rPr>
        <w:t>Created with BioRender.com</w:t>
      </w:r>
      <w:r w:rsidR="007A2BE5">
        <w:rPr>
          <w:sz w:val="22"/>
          <w:szCs w:val="22"/>
        </w:rPr>
        <w:t>.</w:t>
      </w:r>
    </w:p>
    <w:p w14:paraId="76FEBEA9" w14:textId="77777777" w:rsidR="00CD1C9C" w:rsidRPr="00CD1C9C" w:rsidRDefault="00CD1C9C" w:rsidP="00CD1C9C">
      <w:pPr>
        <w:ind w:left="0" w:hanging="2"/>
        <w:rPr>
          <w:sz w:val="22"/>
          <w:szCs w:val="22"/>
        </w:rPr>
      </w:pPr>
    </w:p>
    <w:p w14:paraId="6E02AE12" w14:textId="77777777" w:rsidR="00CD1C9C" w:rsidRDefault="00CD1C9C" w:rsidP="00CD1C9C">
      <w:pPr>
        <w:ind w:leftChars="0" w:left="0" w:firstLineChars="0" w:firstLine="0"/>
      </w:pPr>
    </w:p>
    <w:p w14:paraId="22A98C3A" w14:textId="5D755D8B" w:rsidR="00AF12FE" w:rsidRDefault="00AF12FE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</w:pPr>
      <w:r>
        <w:br w:type="page"/>
      </w:r>
    </w:p>
    <w:p w14:paraId="0A49CBD9" w14:textId="4B0CC6AE" w:rsidR="00674138" w:rsidRPr="00674138" w:rsidRDefault="00674138" w:rsidP="00674138">
      <w:pPr>
        <w:ind w:leftChars="0" w:left="0" w:firstLineChars="0" w:firstLine="0"/>
      </w:pPr>
      <w:r w:rsidRPr="00674138">
        <w:lastRenderedPageBreak/>
        <w:drawing>
          <wp:inline distT="0" distB="0" distL="0" distR="0" wp14:anchorId="24988598" wp14:editId="5487BF02">
            <wp:extent cx="5943600" cy="2633472"/>
            <wp:effectExtent l="0" t="0" r="0" b="0"/>
            <wp:docPr id="6585312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75"/>
                    <a:stretch/>
                  </pic:blipFill>
                  <pic:spPr bwMode="auto">
                    <a:xfrm>
                      <a:off x="0" y="0"/>
                      <a:ext cx="5943600" cy="263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27A7B" w14:textId="67C43681" w:rsidR="00AF12FE" w:rsidRDefault="00AF12FE" w:rsidP="00CD1C9C">
      <w:pPr>
        <w:ind w:leftChars="0" w:left="0" w:firstLineChars="0" w:firstLine="0"/>
      </w:pPr>
    </w:p>
    <w:p w14:paraId="3C93397A" w14:textId="77777777" w:rsidR="00AF12FE" w:rsidRDefault="00AF12FE" w:rsidP="00CD1C9C">
      <w:pPr>
        <w:ind w:leftChars="0" w:left="0" w:firstLineChars="0" w:firstLine="0"/>
      </w:pPr>
    </w:p>
    <w:p w14:paraId="59D94B8F" w14:textId="5C7AF8CA" w:rsidR="00AF12FE" w:rsidRDefault="00AF12FE" w:rsidP="00CD1C9C">
      <w:pPr>
        <w:ind w:leftChars="0" w:left="0" w:firstLineChars="0" w:firstLine="0"/>
        <w:rPr>
          <w:b/>
          <w:bCs/>
          <w:sz w:val="22"/>
          <w:szCs w:val="22"/>
        </w:rPr>
      </w:pPr>
      <w:r w:rsidRPr="00AF12FE">
        <w:rPr>
          <w:b/>
          <w:bCs/>
          <w:sz w:val="22"/>
          <w:szCs w:val="22"/>
        </w:rPr>
        <w:t>Supplementary Figure 2. Treatment scheme for the murine cerebral aneurysm formation model.</w:t>
      </w:r>
    </w:p>
    <w:p w14:paraId="05C72CDE" w14:textId="77777777" w:rsidR="00280319" w:rsidRPr="00AF12FE" w:rsidRDefault="00280319" w:rsidP="00CD1C9C">
      <w:pPr>
        <w:ind w:leftChars="0" w:left="0" w:firstLineChars="0" w:firstLine="0"/>
        <w:rPr>
          <w:b/>
          <w:bCs/>
          <w:sz w:val="22"/>
          <w:szCs w:val="22"/>
        </w:rPr>
      </w:pPr>
    </w:p>
    <w:p w14:paraId="79B10809" w14:textId="6674F03F" w:rsidR="00280319" w:rsidRPr="00280319" w:rsidRDefault="00280319" w:rsidP="0028031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position w:val="0"/>
        </w:rPr>
      </w:pPr>
      <w:r w:rsidRPr="00280319">
        <w:rPr>
          <w:noProof/>
          <w:position w:val="0"/>
        </w:rPr>
        <w:drawing>
          <wp:inline distT="0" distB="0" distL="0" distR="0" wp14:anchorId="3957D5C7" wp14:editId="4510F7CC">
            <wp:extent cx="5879592" cy="2953512"/>
            <wp:effectExtent l="0" t="0" r="6985" b="0"/>
            <wp:docPr id="4489271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592" cy="295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D0EBA" w14:textId="5E7051B4" w:rsidR="00AF12FE" w:rsidRDefault="00AF12FE" w:rsidP="00CD1C9C">
      <w:pPr>
        <w:ind w:leftChars="0" w:left="0" w:firstLineChars="0" w:firstLine="0"/>
        <w:rPr>
          <w:sz w:val="22"/>
          <w:szCs w:val="22"/>
        </w:rPr>
      </w:pPr>
      <w:r w:rsidRPr="00AF12FE">
        <w:rPr>
          <w:b/>
          <w:bCs/>
          <w:sz w:val="22"/>
          <w:szCs w:val="22"/>
        </w:rPr>
        <w:t>Supplementary Figure 3. Peripheral blood collection scheme and platelet isolation for functional assays.</w:t>
      </w:r>
      <w:r w:rsidR="007B1D09">
        <w:rPr>
          <w:b/>
          <w:bCs/>
          <w:sz w:val="22"/>
          <w:szCs w:val="22"/>
        </w:rPr>
        <w:t xml:space="preserve"> </w:t>
      </w:r>
      <w:r w:rsidR="007B1D09" w:rsidRPr="007B1D09">
        <w:rPr>
          <w:sz w:val="22"/>
          <w:szCs w:val="22"/>
        </w:rPr>
        <w:t>Created with BioRender.com</w:t>
      </w:r>
      <w:r w:rsidR="007B1D09">
        <w:rPr>
          <w:sz w:val="22"/>
          <w:szCs w:val="22"/>
        </w:rPr>
        <w:t>.</w:t>
      </w:r>
    </w:p>
    <w:p w14:paraId="2F773AF3" w14:textId="77777777" w:rsidR="00AF12FE" w:rsidRDefault="00AF12FE" w:rsidP="00CD1C9C">
      <w:pPr>
        <w:ind w:leftChars="0" w:left="0" w:firstLineChars="0" w:firstLine="0"/>
        <w:rPr>
          <w:sz w:val="22"/>
          <w:szCs w:val="22"/>
        </w:rPr>
      </w:pPr>
    </w:p>
    <w:p w14:paraId="5C1EB2D6" w14:textId="20BFAA0A" w:rsidR="00AF12FE" w:rsidRDefault="00AF12FE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3EB037E" w14:textId="17741FC6" w:rsidR="00AF12FE" w:rsidRDefault="00AF12FE" w:rsidP="00CD1C9C">
      <w:pPr>
        <w:ind w:leftChars="0" w:left="0" w:firstLineChars="0" w:firstLine="0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7897CBD1" wp14:editId="4802333A">
            <wp:extent cx="5114925" cy="3206750"/>
            <wp:effectExtent l="0" t="0" r="9525" b="0"/>
            <wp:docPr id="10179659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20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E92797" w14:textId="77777777" w:rsidR="00AF12FE" w:rsidRDefault="00AF12FE" w:rsidP="00CD1C9C">
      <w:pPr>
        <w:ind w:leftChars="0" w:left="0" w:firstLineChars="0" w:firstLine="0"/>
        <w:rPr>
          <w:sz w:val="22"/>
          <w:szCs w:val="22"/>
        </w:rPr>
      </w:pPr>
    </w:p>
    <w:p w14:paraId="75A652FD" w14:textId="64DA9D18" w:rsidR="00AF12FE" w:rsidRPr="00AF12FE" w:rsidRDefault="00AF12FE" w:rsidP="00AF12FE">
      <w:pPr>
        <w:ind w:leftChars="0" w:left="0" w:firstLineChars="0" w:firstLine="0"/>
        <w:rPr>
          <w:b/>
          <w:bCs/>
          <w:sz w:val="22"/>
          <w:szCs w:val="22"/>
        </w:rPr>
      </w:pPr>
      <w:r w:rsidRPr="00AF12FE">
        <w:rPr>
          <w:b/>
          <w:bCs/>
          <w:sz w:val="22"/>
          <w:szCs w:val="22"/>
        </w:rPr>
        <w:t xml:space="preserve">Supplementary Figure 4. Systolic blood pressure measurements. </w:t>
      </w:r>
    </w:p>
    <w:p w14:paraId="4D27502F" w14:textId="08CA9997" w:rsidR="00AF12FE" w:rsidRDefault="00AF12FE" w:rsidP="00AF12FE">
      <w:pPr>
        <w:ind w:leftChars="0" w:left="0" w:firstLineChars="0" w:firstLine="0"/>
        <w:rPr>
          <w:sz w:val="22"/>
          <w:szCs w:val="22"/>
        </w:rPr>
      </w:pPr>
      <w:r w:rsidRPr="00AF12FE">
        <w:rPr>
          <w:sz w:val="22"/>
          <w:szCs w:val="22"/>
        </w:rPr>
        <w:t>No significant differences were noted between different treatment regimens at 2 weeks post aneurysm induction.</w:t>
      </w:r>
    </w:p>
    <w:p w14:paraId="3DA61E2F" w14:textId="77777777" w:rsidR="002728FC" w:rsidRDefault="002728FC" w:rsidP="00AF12FE">
      <w:pPr>
        <w:ind w:leftChars="0" w:left="0" w:firstLineChars="0" w:firstLine="0"/>
        <w:rPr>
          <w:sz w:val="22"/>
          <w:szCs w:val="22"/>
        </w:rPr>
      </w:pPr>
    </w:p>
    <w:p w14:paraId="61917982" w14:textId="77777777" w:rsidR="00F27F31" w:rsidRDefault="00F27F31" w:rsidP="00AF12FE">
      <w:pPr>
        <w:ind w:leftChars="0" w:left="0" w:firstLineChars="0" w:firstLine="0"/>
        <w:rPr>
          <w:sz w:val="22"/>
          <w:szCs w:val="22"/>
        </w:rPr>
      </w:pPr>
    </w:p>
    <w:p w14:paraId="7AEA3EA7" w14:textId="5B64554E" w:rsidR="002728FC" w:rsidRDefault="002728FC" w:rsidP="002728FC">
      <w:pPr>
        <w:pStyle w:val="NormalWeb"/>
        <w:ind w:hanging="2"/>
      </w:pPr>
      <w:r>
        <w:rPr>
          <w:noProof/>
        </w:rPr>
        <w:drawing>
          <wp:inline distT="0" distB="0" distL="0" distR="0" wp14:anchorId="5C9C8013" wp14:editId="3D3F575F">
            <wp:extent cx="4905375" cy="2507192"/>
            <wp:effectExtent l="0" t="0" r="0" b="7620"/>
            <wp:docPr id="11466218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157" cy="251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E878B" w14:textId="5BD3BBDB" w:rsidR="002728FC" w:rsidRPr="00AF12FE" w:rsidRDefault="002728FC" w:rsidP="002728FC">
      <w:pPr>
        <w:ind w:leftChars="0" w:left="0" w:firstLineChars="0" w:firstLine="0"/>
        <w:rPr>
          <w:b/>
          <w:bCs/>
          <w:sz w:val="22"/>
          <w:szCs w:val="22"/>
        </w:rPr>
      </w:pPr>
      <w:r w:rsidRPr="00AF12FE">
        <w:rPr>
          <w:b/>
          <w:bCs/>
          <w:sz w:val="22"/>
          <w:szCs w:val="22"/>
        </w:rPr>
        <w:t xml:space="preserve">Supplementary Figure </w:t>
      </w:r>
      <w:r>
        <w:rPr>
          <w:b/>
          <w:bCs/>
          <w:sz w:val="22"/>
          <w:szCs w:val="22"/>
        </w:rPr>
        <w:t>5</w:t>
      </w:r>
      <w:r w:rsidRPr="00AF12FE"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>REACTOME analysis</w:t>
      </w:r>
      <w:r w:rsidRPr="00AF12FE">
        <w:rPr>
          <w:b/>
          <w:bCs/>
          <w:sz w:val="22"/>
          <w:szCs w:val="22"/>
        </w:rPr>
        <w:t xml:space="preserve"> </w:t>
      </w:r>
    </w:p>
    <w:p w14:paraId="78DCE366" w14:textId="33A45E54" w:rsidR="002728FC" w:rsidRPr="00AF12FE" w:rsidRDefault="002728FC" w:rsidP="00AF12FE">
      <w:pPr>
        <w:ind w:leftChars="0" w:left="0" w:firstLineChars="0" w:firstLine="0"/>
        <w:rPr>
          <w:sz w:val="22"/>
          <w:szCs w:val="22"/>
        </w:rPr>
      </w:pPr>
      <w:r w:rsidRPr="002728FC">
        <w:rPr>
          <w:sz w:val="22"/>
          <w:szCs w:val="22"/>
        </w:rPr>
        <w:t>Analysis</w:t>
      </w:r>
      <w:r>
        <w:rPr>
          <w:sz w:val="22"/>
          <w:szCs w:val="22"/>
        </w:rPr>
        <w:t xml:space="preserve"> </w:t>
      </w:r>
      <w:r w:rsidRPr="002728FC">
        <w:rPr>
          <w:i/>
          <w:iCs/>
          <w:sz w:val="22"/>
          <w:szCs w:val="22"/>
        </w:rPr>
        <w:t>in silico</w:t>
      </w:r>
      <w:r w:rsidRPr="002728FC">
        <w:rPr>
          <w:sz w:val="22"/>
          <w:szCs w:val="22"/>
        </w:rPr>
        <w:t xml:space="preserve"> using REACTOME was used to evaluate for network of 718 biological interactions. Pathways with p-values &lt; 0.01 were considered as marginally significant, &lt; 0.0027 as significant (3-sigma), and &lt; 0.00006 as highly significant (5-sigma). Downstream target interactions implicated platelet activation and degranulation, NLRP3 inflammasome, oxidative damage, and interactions with lipid metabolism.</w:t>
      </w:r>
    </w:p>
    <w:sectPr w:rsidR="002728FC" w:rsidRPr="00AF1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37A"/>
    <w:rsid w:val="00000743"/>
    <w:rsid w:val="00026232"/>
    <w:rsid w:val="002728FC"/>
    <w:rsid w:val="00280319"/>
    <w:rsid w:val="002D40BA"/>
    <w:rsid w:val="0045137A"/>
    <w:rsid w:val="004F7420"/>
    <w:rsid w:val="00546222"/>
    <w:rsid w:val="00674138"/>
    <w:rsid w:val="006A44A1"/>
    <w:rsid w:val="007A2BE5"/>
    <w:rsid w:val="007B1D09"/>
    <w:rsid w:val="008B527B"/>
    <w:rsid w:val="00963897"/>
    <w:rsid w:val="00AF12FE"/>
    <w:rsid w:val="00CD17F7"/>
    <w:rsid w:val="00CD1C9C"/>
    <w:rsid w:val="00CF323C"/>
    <w:rsid w:val="00E17DD2"/>
    <w:rsid w:val="00F2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8F3BC"/>
  <w15:chartTrackingRefBased/>
  <w15:docId w15:val="{6E0436F6-0395-4EEF-9BC8-41F1BA82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C9C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28FC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ListParagraph">
    <w:name w:val="List Paragraph"/>
    <w:basedOn w:val="Normal"/>
    <w:uiPriority w:val="34"/>
    <w:qFormat/>
    <w:rsid w:val="002728FC"/>
    <w:pPr>
      <w:ind w:left="720"/>
      <w:contextualSpacing/>
    </w:pPr>
  </w:style>
  <w:style w:type="table" w:styleId="TableGrid">
    <w:name w:val="Table Grid"/>
    <w:basedOn w:val="TableNormal"/>
    <w:uiPriority w:val="39"/>
    <w:rsid w:val="004F742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Nowicki</dc:creator>
  <cp:keywords/>
  <dc:description/>
  <cp:lastModifiedBy>Kamil Nowicki</cp:lastModifiedBy>
  <cp:revision>13</cp:revision>
  <dcterms:created xsi:type="dcterms:W3CDTF">2024-01-16T00:40:00Z</dcterms:created>
  <dcterms:modified xsi:type="dcterms:W3CDTF">2024-01-21T02:22:00Z</dcterms:modified>
</cp:coreProperties>
</file>