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Materials For</w:t>
      </w: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OLE_LINK24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Sexual dimorphism of rhizosphere microorganisms in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 xml:space="preserve">Salix gordejevii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under </w:t>
      </w: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varying sandy land types</w:t>
      </w: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14" w:name="_GoBack"/>
      <w:bookmarkEnd w:id="14"/>
    </w:p>
    <w:p>
      <w:pPr>
        <w:spacing w:line="480" w:lineRule="auto"/>
        <w:rPr>
          <w:rFonts w:hint="default" w:ascii="Times New Roman" w:hAnsi="Times New Roman" w:cs="Times New Roman"/>
          <w:sz w:val="24"/>
          <w:szCs w:val="24"/>
          <w:vertAlign w:val="superscript"/>
        </w:rPr>
      </w:pPr>
      <w:r>
        <w:rPr>
          <w:rFonts w:hint="default" w:ascii="Times New Roman" w:hAnsi="Times New Roman" w:cs="Times New Roman"/>
          <w:sz w:val="24"/>
          <w:szCs w:val="24"/>
        </w:rPr>
        <w:t>Qing Lan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 xml:space="preserve"> 1†</w:t>
      </w:r>
      <w:r>
        <w:rPr>
          <w:rFonts w:hint="default" w:ascii="Times New Roman" w:hAnsi="Times New Roman" w:cs="Times New Roman"/>
          <w:sz w:val="24"/>
          <w:szCs w:val="24"/>
        </w:rPr>
        <w:t>, Guanzhi Liu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 xml:space="preserve"> 1†</w:t>
      </w:r>
      <w:r>
        <w:rPr>
          <w:rFonts w:hint="default" w:ascii="Times New Roman" w:hAnsi="Times New Roman" w:cs="Times New Roman"/>
          <w:sz w:val="24"/>
          <w:szCs w:val="24"/>
        </w:rPr>
        <w:t>, Haifeng Song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 xml:space="preserve">, Guohou Liu 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1*</w:t>
      </w:r>
      <w:r>
        <w:rPr>
          <w:rFonts w:hint="default" w:ascii="Times New Roman" w:hAnsi="Times New Roman" w:cs="Times New Roman"/>
          <w:sz w:val="24"/>
          <w:szCs w:val="24"/>
        </w:rPr>
        <w:t xml:space="preserve">, Xiao Xu 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1,2*</w:t>
      </w:r>
    </w:p>
    <w:p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*Corresponding author:</w:t>
      </w:r>
    </w:p>
    <w:p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Guohou Liu</w:t>
      </w:r>
      <w:bookmarkStart w:id="1" w:name="OLE_LINK32"/>
    </w:p>
    <w:p>
      <w:pPr>
        <w:spacing w:line="480" w:lineRule="auto"/>
        <w:rPr>
          <w:rFonts w:hint="default" w:ascii="Times New Roman" w:hAnsi="Times New Roman" w:cs="Times New Roman"/>
          <w:kern w:val="2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Email: </w:t>
      </w:r>
      <w:bookmarkEnd w:id="1"/>
      <w:r>
        <w:rPr>
          <w:rFonts w:hint="default" w:ascii="Times New Roman" w:hAnsi="Times New Roman" w:cs="Times New Roman"/>
          <w:kern w:val="2"/>
          <w:sz w:val="24"/>
          <w:szCs w:val="24"/>
        </w:rPr>
        <w:t>guohouliu@163.com</w:t>
      </w:r>
    </w:p>
    <w:p>
      <w:pPr>
        <w:spacing w:line="480" w:lineRule="auto"/>
        <w:rPr>
          <w:rFonts w:hint="default" w:ascii="Times New Roman" w:hAnsi="Times New Roman" w:cs="Times New Roman"/>
          <w:kern w:val="2"/>
          <w:sz w:val="24"/>
          <w:szCs w:val="24"/>
        </w:rPr>
      </w:pPr>
      <w:r>
        <w:rPr>
          <w:rFonts w:hint="default" w:ascii="Times New Roman" w:hAnsi="Times New Roman" w:cs="Times New Roman"/>
          <w:kern w:val="2"/>
          <w:sz w:val="24"/>
          <w:szCs w:val="24"/>
        </w:rPr>
        <w:t>Xiao Xu</w:t>
      </w:r>
    </w:p>
    <w:p>
      <w:pPr>
        <w:spacing w:line="480" w:lineRule="auto"/>
        <w:rPr>
          <w:rFonts w:hint="default" w:ascii="Times New Roman" w:hAnsi="Times New Roman" w:cs="Times New Roman"/>
          <w:kern w:val="2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Email: </w:t>
      </w:r>
      <w:r>
        <w:rPr>
          <w:rFonts w:hint="default" w:ascii="Times New Roman" w:hAnsi="Times New Roman" w:cs="Times New Roman"/>
          <w:kern w:val="2"/>
          <w:sz w:val="24"/>
          <w:szCs w:val="24"/>
        </w:rPr>
        <w:t>xuxiao_cwnu@163.com</w:t>
      </w:r>
    </w:p>
    <w:bookmarkEnd w:id="0"/>
    <w:p>
      <w:pPr>
        <w:jc w:val="center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3429000" cy="5274310"/>
            <wp:effectExtent l="0" t="0" r="0" b="2540"/>
            <wp:docPr id="17438086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808617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98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Venn diagram</w:t>
      </w:r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>s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 xml:space="preserve"> of bacteria</w:t>
      </w:r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</w:t>
      </w:r>
      <w:bookmarkStart w:id="2" w:name="OLE_LINK6"/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(a) </w:t>
      </w:r>
      <w:bookmarkEnd w:id="2"/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and 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fungal</w:t>
      </w:r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(b) 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 xml:space="preserve">in the rhizospheres of male and female </w:t>
      </w:r>
      <w:r>
        <w:rPr>
          <w:rFonts w:hint="default" w:ascii="Times New Roman" w:hAnsi="Times New Roman" w:eastAsia="Cambria" w:cs="Times New Roman"/>
          <w:i/>
          <w:iCs/>
          <w:sz w:val="24"/>
          <w:szCs w:val="24"/>
          <w:shd w:val="clear" w:color="auto" w:fill="FFFFFF"/>
        </w:rPr>
        <w:t>S. gordejevii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 xml:space="preserve"> at three sites</w:t>
      </w:r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Fmov, Fsem, and Ffixed represent the female plants in moving, semi-fixed, and fixed sandy sites, respectively; Mmov, Msem, and Mfixed represent the male plants in moving, semi-fixed, and fixed sandy sites, respectively.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5274310" cy="5875020"/>
            <wp:effectExtent l="0" t="0" r="2540" b="0"/>
            <wp:docPr id="5853810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381059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7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bookmarkStart w:id="3" w:name="OLE_LINK3"/>
      <w:bookmarkStart w:id="4" w:name="OLE_LINK4"/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The relative abundance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 xml:space="preserve">of </w:t>
      </w:r>
      <w:bookmarkStart w:id="5" w:name="OLE_LINK5"/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bacteria</w:t>
      </w:r>
      <w:bookmarkEnd w:id="3"/>
      <w:bookmarkEnd w:id="5"/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at the phylum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(a)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, family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(b)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, genus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(c)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, and species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(d)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 xml:space="preserve"> levels</w:t>
      </w:r>
      <w:r>
        <w:rPr>
          <w:rFonts w:hint="eastAsia" w:ascii="Times New Roman" w:hAnsi="Times New Roman" w:eastAsia="Cambria" w:cs="Times New Roman"/>
          <w:sz w:val="24"/>
          <w:szCs w:val="24"/>
          <w:shd w:val="clear" w:color="auto" w:fill="FFFFFF"/>
          <w:lang w:val="en-US" w:eastAsia="zh-CN"/>
        </w:rPr>
        <w:t xml:space="preserve"> </w:t>
      </w:r>
      <w:bookmarkStart w:id="6" w:name="OLE_LINK1"/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 xml:space="preserve">in the </w:t>
      </w:r>
      <w:bookmarkStart w:id="7" w:name="_Hlk154833906"/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 xml:space="preserve">rhizospheres of male and female </w:t>
      </w:r>
      <w:r>
        <w:rPr>
          <w:rFonts w:hint="default" w:ascii="Times New Roman" w:hAnsi="Times New Roman" w:eastAsia="Cambria" w:cs="Times New Roman"/>
          <w:i/>
          <w:iCs/>
          <w:sz w:val="24"/>
          <w:szCs w:val="24"/>
          <w:shd w:val="clear" w:color="auto" w:fill="FFFFFF"/>
        </w:rPr>
        <w:t>S. gordejevii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 xml:space="preserve"> at three sites</w:t>
      </w:r>
      <w:bookmarkEnd w:id="6"/>
      <w:bookmarkEnd w:id="7"/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Fmov, Fsem, and Ffixed represent the female plants in moving, semi-fixed, and fixed sandy sites, respectively; Mmov, Msem, and Mfixed represent the male plants in moving, semi-fixed, and fixed sandy sites, respectively.</w:t>
      </w:r>
      <w:bookmarkEnd w:id="4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5274310" cy="6328410"/>
            <wp:effectExtent l="0" t="0" r="2540" b="0"/>
            <wp:docPr id="3879850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85075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2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The relative abundance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of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</w:t>
      </w:r>
      <w:bookmarkStart w:id="8" w:name="OLE_LINK2"/>
      <w:r>
        <w:rPr>
          <w:rFonts w:hint="default" w:ascii="Times New Roman" w:hAnsi="Times New Roman" w:cs="Times New Roman"/>
          <w:sz w:val="24"/>
          <w:szCs w:val="24"/>
          <w:shd w:val="clear" w:color="auto" w:fill="FFFFFF"/>
        </w:rPr>
        <w:t>fungal</w:t>
      </w:r>
      <w:bookmarkEnd w:id="8"/>
      <w:r>
        <w:rPr>
          <w:rFonts w:hint="default"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at the phylum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(a)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, family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(b)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, genus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(c)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, and species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(d)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 xml:space="preserve"> levels</w:t>
      </w:r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 xml:space="preserve">in the rhizospheres of male and female </w:t>
      </w:r>
      <w:r>
        <w:rPr>
          <w:rFonts w:hint="default" w:ascii="Times New Roman" w:hAnsi="Times New Roman" w:eastAsia="Cambria" w:cs="Times New Roman"/>
          <w:i/>
          <w:iCs/>
          <w:sz w:val="24"/>
          <w:szCs w:val="24"/>
          <w:shd w:val="clear" w:color="auto" w:fill="FFFFFF"/>
        </w:rPr>
        <w:t>S. gordejevii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 xml:space="preserve"> at three sites</w:t>
      </w:r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Fmov, Fsem, and Ffixed represent the female plants in moving, semi-fixed, and fixed sandy sites, respectively; Mmov, Msem, and Mfixed represent the male plants in moving, semi-fixed, and fixed sandy sites, respectively.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4248150" cy="5317490"/>
            <wp:effectExtent l="0" t="0" r="0" b="0"/>
            <wp:docPr id="96344920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449201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31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S4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  <w:lang w:val="sq"/>
        </w:rPr>
        <w:t>LDA scores fo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val="sq" w:eastAsia="zh-CN"/>
        </w:rPr>
        <w:t xml:space="preserve">r </w:t>
      </w:r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microbial </w:t>
      </w:r>
      <w:bookmarkStart w:id="9" w:name="_Hlk154833963"/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>community composition</w:t>
      </w:r>
      <w:bookmarkEnd w:id="9"/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</w:t>
      </w:r>
      <w:bookmarkStart w:id="10" w:name="_Hlk154832967"/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in the rhizospheres of male and female 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shd w:val="clear" w:color="auto" w:fill="FFFFFF"/>
          <w:lang w:val="en-US" w:eastAsia="zh-CN"/>
        </w:rPr>
        <w:t>S. gordejevii</w:t>
      </w:r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at three sites</w:t>
      </w:r>
      <w:bookmarkEnd w:id="10"/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: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(a) </w:t>
      </w:r>
      <w:bookmarkStart w:id="11" w:name="_Hlk154834048"/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Bacteria community composition in </w:t>
      </w:r>
      <w:bookmarkEnd w:id="11"/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female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S. gordejevii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groups at three sites; (b) Bacteria community composition in male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S. gordejevii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groups at three sites; (c) </w:t>
      </w:r>
      <w:bookmarkStart w:id="12" w:name="_Hlk154834097"/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Fungal community composition </w:t>
      </w:r>
      <w:bookmarkEnd w:id="12"/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in female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S. gordejevii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groups at three sites; (d) Fungal community composition in male </w:t>
      </w:r>
      <w:r>
        <w:rPr>
          <w:rFonts w:hint="eastAsia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S. gordejevii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bookmarkStart w:id="13" w:name="_Hlk154834133"/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groups</w:t>
      </w:r>
      <w:bookmarkEnd w:id="13"/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at three sites.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  <w:lang w:val="sq"/>
        </w:rPr>
        <w:t xml:space="preserve"> Only taxa with mean abundances &gt;1% were considered significant. A significance alpha of 0.05 and an effect size threshold of </w:t>
      </w:r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  <w:lang w:val="sq"/>
        </w:rPr>
        <w:t xml:space="preserve"> was used for all of the biomarkers evaluated. Only taxa meeting an LDA significance threshold of &gt;</w:t>
      </w:r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  <w:lang w:val="sq"/>
        </w:rPr>
        <w:t xml:space="preserve"> are shown in this figure.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Fmov, Fsem, and Ffixed represent the female plants in moving, semi-fixed, and fixed sandy sites, respectively; Mmov, Msem, and Mfixed represent the male plants in moving, semi-fixed, and fixed sandy sites, respectively.</w:t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5274310" cy="4696460"/>
            <wp:effectExtent l="0" t="0" r="13970" b="12700"/>
            <wp:docPr id="144437606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376060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S5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Heatmap displaying the relative abundance of differential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</w:rPr>
        <w:t>fungal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functions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in the rhizospheres of male and female </w:t>
      </w:r>
      <w:r>
        <w:rPr>
          <w:rFonts w:hint="default" w:ascii="Times New Roman" w:hAnsi="Times New Roman" w:eastAsia="宋体" w:cs="Times New Roman"/>
          <w:i/>
          <w:iCs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S. gordejevii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at three sites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. Fmov, Fsem, and Ffixed represent the female plants in moving, semi-fixed, and fixed sandy sites, respectively; Mmov, Msem, and Mfixed represent the male plants in moving, semi-fixed, and fixed sandy sites, respectively.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5274310" cy="5274310"/>
            <wp:effectExtent l="0" t="0" r="2540" b="2540"/>
            <wp:docPr id="19186112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61122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S6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The relative abundance</w:t>
      </w:r>
      <w:r>
        <w:rPr>
          <w:rFonts w:hint="default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of differential</w:t>
      </w:r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>bacteria functions</w:t>
      </w:r>
      <w:r>
        <w:rPr>
          <w:rFonts w:hint="eastAsia" w:ascii="Times New Roman" w:hAnsi="Times New Roman" w:eastAsia="Cambria" w:cs="Times New Roman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 xml:space="preserve">in the rhizospheres of male and female </w:t>
      </w:r>
      <w:r>
        <w:rPr>
          <w:rFonts w:hint="default" w:ascii="Times New Roman" w:hAnsi="Times New Roman" w:eastAsia="Cambria" w:cs="Times New Roman"/>
          <w:i/>
          <w:iCs/>
          <w:sz w:val="24"/>
          <w:szCs w:val="24"/>
          <w:shd w:val="clear" w:color="auto" w:fill="FFFFFF"/>
        </w:rPr>
        <w:t>S. gordejevii</w:t>
      </w:r>
      <w:r>
        <w:rPr>
          <w:rFonts w:hint="default" w:ascii="Times New Roman" w:hAnsi="Times New Roman" w:eastAsia="Cambria" w:cs="Times New Roman"/>
          <w:sz w:val="24"/>
          <w:szCs w:val="24"/>
          <w:shd w:val="clear" w:color="auto" w:fill="FFFFFF"/>
        </w:rPr>
        <w:t xml:space="preserve"> at three sites</w:t>
      </w:r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Fmov, Fsem, and Ffixed represent the female plants in moving, semi-fixed, and fixed sandy sites, respectively; Mmov, Msem, and Mfixed represent the male plants in moving, semi-fixed, and fixed sandy sites, respectively.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0NmMzNDUyNGJlYmM4ODVkMTZiMmRmYzA0NDg3OTYifQ=="/>
  </w:docVars>
  <w:rsids>
    <w:rsidRoot w:val="004E25F0"/>
    <w:rsid w:val="004E25F0"/>
    <w:rsid w:val="00B04BED"/>
    <w:rsid w:val="00D96E76"/>
    <w:rsid w:val="0CCD56CE"/>
    <w:rsid w:val="11226210"/>
    <w:rsid w:val="4E25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</Words>
  <Characters>66</Characters>
  <Lines>1</Lines>
  <Paragraphs>1</Paragraphs>
  <TotalTime>1</TotalTime>
  <ScaleCrop>false</ScaleCrop>
  <LinksUpToDate>false</LinksUpToDate>
  <CharactersWithSpaces>76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2024-01-07T14:40:00Z</dcterms:created>
  <dc:creator>H Tu</dc:creator>
  <cp:lastModifiedBy>Lguanzhi</cp:lastModifiedBy>
  <dcterms:modified xsi:type="dcterms:W3CDTF">2024-01-18T08:12:29Z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474E07B4713B4446A737ECB0BD4088B5_12</vt:lpwstr>
  </property>
</Properties>
</file>