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556A" w14:textId="77777777" w:rsidR="00ED5323" w:rsidRPr="0044495C" w:rsidRDefault="00ED5323" w:rsidP="00ED5323">
      <w:pPr>
        <w:rPr>
          <w:rFonts w:ascii="Times New Roman" w:hAnsi="Times New Roman" w:cs="Times New Roman"/>
          <w:b/>
        </w:rPr>
      </w:pPr>
      <w:r w:rsidRPr="0044495C">
        <w:rPr>
          <w:rFonts w:ascii="Times New Roman" w:hAnsi="Times New Roman" w:cs="Times New Roman"/>
          <w:b/>
        </w:rPr>
        <w:t>Appendix A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8711"/>
      </w:tblGrid>
      <w:tr w:rsidR="00ED5323" w:rsidRPr="0044495C" w14:paraId="5E4D6C4D" w14:textId="77777777" w:rsidTr="00B413E1">
        <w:trPr>
          <w:trHeight w:val="377"/>
        </w:trPr>
        <w:tc>
          <w:tcPr>
            <w:tcW w:w="639" w:type="dxa"/>
            <w:noWrap/>
            <w:hideMark/>
          </w:tcPr>
          <w:p w14:paraId="6C728BE3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1" w:type="dxa"/>
            <w:noWrap/>
            <w:hideMark/>
          </w:tcPr>
          <w:p w14:paraId="016D6F24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 Statement on environmental protection policy </w:t>
            </w:r>
          </w:p>
        </w:tc>
      </w:tr>
      <w:tr w:rsidR="00ED5323" w:rsidRPr="0044495C" w14:paraId="1A74339E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5B40B6F7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1" w:type="dxa"/>
            <w:noWrap/>
            <w:hideMark/>
          </w:tcPr>
          <w:p w14:paraId="5CB803BC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 Prevention of pollution (waste disposal and recycling) </w:t>
            </w:r>
          </w:p>
        </w:tc>
      </w:tr>
      <w:tr w:rsidR="00ED5323" w:rsidRPr="0044495C" w14:paraId="167C2231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76ECF296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1" w:type="dxa"/>
            <w:noWrap/>
            <w:hideMark/>
          </w:tcPr>
          <w:p w14:paraId="7B235B8D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 Actions aiming to limit consumption of energy, materials, water (sustainable use of resources) </w:t>
            </w:r>
          </w:p>
        </w:tc>
      </w:tr>
      <w:tr w:rsidR="00ED5323" w:rsidRPr="0044495C" w14:paraId="4DE93918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33386FEB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21" w:type="dxa"/>
            <w:noWrap/>
            <w:hideMark/>
          </w:tcPr>
          <w:p w14:paraId="172A541A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 Sustainability (any mention of sustainable development) </w:t>
            </w:r>
          </w:p>
        </w:tc>
      </w:tr>
      <w:tr w:rsidR="00ED5323" w:rsidRPr="0044495C" w14:paraId="38ECF873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07402AC9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21" w:type="dxa"/>
            <w:noWrap/>
            <w:hideMark/>
          </w:tcPr>
          <w:p w14:paraId="43B6050F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Aesthetic  value of the environment (designing structures in harmony with the environment,    landscape ) </w:t>
            </w:r>
          </w:p>
        </w:tc>
      </w:tr>
      <w:tr w:rsidR="00ED5323" w:rsidRPr="0044495C" w14:paraId="0C2CD586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7604321C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21" w:type="dxa"/>
            <w:noWrap/>
            <w:hideMark/>
          </w:tcPr>
          <w:p w14:paraId="1A035050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Environmental protection, biodiversity and restoration of natural habitats </w:t>
            </w:r>
          </w:p>
        </w:tc>
      </w:tr>
      <w:tr w:rsidR="00ED5323" w:rsidRPr="0044495C" w14:paraId="4EAE8712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2F081B98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21" w:type="dxa"/>
            <w:noWrap/>
            <w:hideMark/>
          </w:tcPr>
          <w:p w14:paraId="65176C9C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Taking account of the environment in credit policy (environmentally-friendly products, ‘green products’, funding ‘low-emission’ investment projects)</w:t>
            </w:r>
          </w:p>
        </w:tc>
      </w:tr>
      <w:tr w:rsidR="00ED5323" w:rsidRPr="0044495C" w14:paraId="570620F8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188094AF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21" w:type="dxa"/>
            <w:noWrap/>
            <w:hideMark/>
          </w:tcPr>
          <w:p w14:paraId="17D4BA92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Environmental training and certificates (ISO 14001 vs.) </w:t>
            </w:r>
          </w:p>
        </w:tc>
      </w:tr>
      <w:tr w:rsidR="00ED5323" w:rsidRPr="0044495C" w14:paraId="521FED2C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212BB133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21" w:type="dxa"/>
            <w:noWrap/>
            <w:hideMark/>
          </w:tcPr>
          <w:p w14:paraId="2439A29B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Joint projects with other companies providing environmental management services </w:t>
            </w:r>
          </w:p>
        </w:tc>
      </w:tr>
      <w:tr w:rsidR="00ED5323" w:rsidRPr="0044495C" w14:paraId="494C7FB5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2DDA9B29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1" w:type="dxa"/>
            <w:noWrap/>
            <w:hideMark/>
          </w:tcPr>
          <w:p w14:paraId="367F3622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Environmental awards </w:t>
            </w:r>
          </w:p>
        </w:tc>
      </w:tr>
      <w:tr w:rsidR="00ED5323" w:rsidRPr="0044495C" w14:paraId="642067F2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16CC15ED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21" w:type="dxa"/>
            <w:noWrap/>
            <w:hideMark/>
          </w:tcPr>
          <w:p w14:paraId="2E71F067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Employment and labour relations </w:t>
            </w:r>
          </w:p>
        </w:tc>
      </w:tr>
      <w:tr w:rsidR="00ED5323" w:rsidRPr="0044495C" w14:paraId="3914CB0D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4A40A886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21" w:type="dxa"/>
            <w:noWrap/>
            <w:hideMark/>
          </w:tcPr>
          <w:p w14:paraId="2D8DEEF4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 Occupational health and safety </w:t>
            </w:r>
          </w:p>
        </w:tc>
      </w:tr>
      <w:tr w:rsidR="00ED5323" w:rsidRPr="0044495C" w14:paraId="5D151C16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6DBE8557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21" w:type="dxa"/>
            <w:noWrap/>
            <w:hideMark/>
          </w:tcPr>
          <w:p w14:paraId="410E4FB8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Employee development (training and education provided to employees) </w:t>
            </w:r>
          </w:p>
        </w:tc>
      </w:tr>
      <w:tr w:rsidR="00ED5323" w:rsidRPr="0044495C" w14:paraId="5B458849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0DE35475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721" w:type="dxa"/>
            <w:noWrap/>
            <w:hideMark/>
          </w:tcPr>
          <w:p w14:paraId="652BC586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 Employee assistance benefits (insurance, healthcare, social assistance) </w:t>
            </w:r>
          </w:p>
        </w:tc>
      </w:tr>
      <w:tr w:rsidR="00ED5323" w:rsidRPr="0044495C" w14:paraId="42A848EC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158A33DC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21" w:type="dxa"/>
            <w:noWrap/>
            <w:hideMark/>
          </w:tcPr>
          <w:p w14:paraId="71F44281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Employee compensation </w:t>
            </w:r>
          </w:p>
        </w:tc>
      </w:tr>
      <w:tr w:rsidR="00ED5323" w:rsidRPr="0044495C" w14:paraId="7813C831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4D025B87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721" w:type="dxa"/>
            <w:noWrap/>
            <w:hideMark/>
          </w:tcPr>
          <w:p w14:paraId="6E7E230E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Employee expertise and backgrounds</w:t>
            </w:r>
          </w:p>
        </w:tc>
      </w:tr>
      <w:tr w:rsidR="00ED5323" w:rsidRPr="0044495C" w14:paraId="585F90E8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29F40699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21" w:type="dxa"/>
            <w:noWrap/>
            <w:hideMark/>
          </w:tcPr>
          <w:p w14:paraId="11ADECBC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 Employee share purchase scheme </w:t>
            </w:r>
          </w:p>
        </w:tc>
      </w:tr>
      <w:tr w:rsidR="00ED5323" w:rsidRPr="0044495C" w14:paraId="0FB68912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6546FF5A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1" w:type="dxa"/>
            <w:noWrap/>
            <w:hideMark/>
          </w:tcPr>
          <w:p w14:paraId="6FBF0F30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Employee appreciation</w:t>
            </w:r>
          </w:p>
        </w:tc>
      </w:tr>
      <w:tr w:rsidR="00ED5323" w:rsidRPr="0044495C" w14:paraId="691DB213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68B528EA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21" w:type="dxa"/>
            <w:noWrap/>
            <w:hideMark/>
          </w:tcPr>
          <w:p w14:paraId="08EF8DC0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 Issues relating to recruitment process</w:t>
            </w:r>
          </w:p>
        </w:tc>
      </w:tr>
      <w:tr w:rsidR="00ED5323" w:rsidRPr="0044495C" w14:paraId="2E346654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33456D00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1" w:type="dxa"/>
            <w:noWrap/>
            <w:hideMark/>
          </w:tcPr>
          <w:p w14:paraId="09737AA3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 Relationships with trade unions </w:t>
            </w:r>
          </w:p>
        </w:tc>
      </w:tr>
      <w:tr w:rsidR="00ED5323" w:rsidRPr="0044495C" w14:paraId="6A810F99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2B467750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21" w:type="dxa"/>
            <w:noWrap/>
            <w:hideMark/>
          </w:tcPr>
          <w:p w14:paraId="495C06E3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Information on employee turnover </w:t>
            </w:r>
          </w:p>
        </w:tc>
      </w:tr>
      <w:tr w:rsidR="00ED5323" w:rsidRPr="0044495C" w14:paraId="19B7321F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74405851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721" w:type="dxa"/>
            <w:noWrap/>
            <w:hideMark/>
          </w:tcPr>
          <w:p w14:paraId="6388FF4E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Information on support for daytime care, maternity and paternity leave </w:t>
            </w:r>
          </w:p>
        </w:tc>
      </w:tr>
      <w:tr w:rsidR="00ED5323" w:rsidRPr="0044495C" w14:paraId="23CFF2DD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240AA07C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721" w:type="dxa"/>
            <w:noWrap/>
            <w:hideMark/>
          </w:tcPr>
          <w:p w14:paraId="46BB8AFD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 Encouraging diversity (employment of minorities, disabled persons, women) </w:t>
            </w:r>
          </w:p>
        </w:tc>
      </w:tr>
      <w:tr w:rsidR="00ED5323" w:rsidRPr="0044495C" w14:paraId="13258BD6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7BA4D1C9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721" w:type="dxa"/>
            <w:noWrap/>
            <w:hideMark/>
          </w:tcPr>
          <w:p w14:paraId="7D11137D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Comprehensibility and transparency of products/services </w:t>
            </w:r>
          </w:p>
        </w:tc>
      </w:tr>
      <w:tr w:rsidR="00ED5323" w:rsidRPr="0044495C" w14:paraId="04023CEC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22725A19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721" w:type="dxa"/>
            <w:noWrap/>
            <w:hideMark/>
          </w:tcPr>
          <w:p w14:paraId="17F74441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Bank products addressed to marginalized groups (the disabled, aged customers, non-profit organizations) </w:t>
            </w:r>
          </w:p>
        </w:tc>
      </w:tr>
      <w:tr w:rsidR="00ED5323" w:rsidRPr="0044495C" w14:paraId="55F28D87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64E7CBE6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721" w:type="dxa"/>
            <w:noWrap/>
            <w:hideMark/>
          </w:tcPr>
          <w:p w14:paraId="2B86302A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Examination of customer satisfaction/service quality </w:t>
            </w:r>
          </w:p>
        </w:tc>
      </w:tr>
      <w:tr w:rsidR="00ED5323" w:rsidRPr="0044495C" w14:paraId="4AE5089C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552C5ED1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8721" w:type="dxa"/>
            <w:noWrap/>
            <w:hideMark/>
          </w:tcPr>
          <w:p w14:paraId="223E4B8C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Protection of customers’ data and privacy </w:t>
            </w:r>
          </w:p>
        </w:tc>
      </w:tr>
      <w:tr w:rsidR="00ED5323" w:rsidRPr="0044495C" w14:paraId="7C751815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4F881ED7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721" w:type="dxa"/>
            <w:noWrap/>
            <w:hideMark/>
          </w:tcPr>
          <w:p w14:paraId="3413F39A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Customer service (settlement of problems, complaints, disputes, renegotiation of contract terms) </w:t>
            </w:r>
          </w:p>
        </w:tc>
      </w:tr>
      <w:tr w:rsidR="00ED5323" w:rsidRPr="0044495C" w14:paraId="54362DBC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3329E639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721" w:type="dxa"/>
            <w:noWrap/>
            <w:hideMark/>
          </w:tcPr>
          <w:p w14:paraId="6971F7A4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Loyalty programs and gifts to customers</w:t>
            </w:r>
          </w:p>
        </w:tc>
      </w:tr>
      <w:tr w:rsidR="00ED5323" w:rsidRPr="0044495C" w14:paraId="092ADC17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3D85795C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1" w:type="dxa"/>
            <w:noWrap/>
            <w:hideMark/>
          </w:tcPr>
          <w:p w14:paraId="448DA61F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Strategies and plans for future expansion in social product and services</w:t>
            </w:r>
          </w:p>
        </w:tc>
      </w:tr>
      <w:tr w:rsidR="00ED5323" w:rsidRPr="0044495C" w14:paraId="4C4C35A9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4C4A1640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721" w:type="dxa"/>
            <w:noWrap/>
            <w:hideMark/>
          </w:tcPr>
          <w:p w14:paraId="5144826B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Investment in social responsibility activities</w:t>
            </w:r>
          </w:p>
        </w:tc>
      </w:tr>
      <w:tr w:rsidR="00ED5323" w:rsidRPr="0044495C" w14:paraId="465E4EAD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22B378BA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721" w:type="dxa"/>
            <w:noWrap/>
            <w:hideMark/>
          </w:tcPr>
          <w:p w14:paraId="5A2B335D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Discussion on the type of social products</w:t>
            </w:r>
          </w:p>
        </w:tc>
      </w:tr>
      <w:tr w:rsidR="00ED5323" w:rsidRPr="0044495C" w14:paraId="0321A975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2AFD1F29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721" w:type="dxa"/>
            <w:noWrap/>
            <w:hideMark/>
          </w:tcPr>
          <w:p w14:paraId="4BA13957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Provision for disabled, frail and disabled to reach customers</w:t>
            </w:r>
          </w:p>
        </w:tc>
      </w:tr>
      <w:tr w:rsidR="00ED5323" w:rsidRPr="0044495C" w14:paraId="0F8F7ADC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3D6EA1BB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721" w:type="dxa"/>
            <w:noWrap/>
            <w:hideMark/>
          </w:tcPr>
          <w:p w14:paraId="583F4D90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Discussion in relation to customer feedback</w:t>
            </w:r>
          </w:p>
        </w:tc>
      </w:tr>
      <w:tr w:rsidR="00ED5323" w:rsidRPr="0044495C" w14:paraId="691C1CB0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0E6912D5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721" w:type="dxa"/>
            <w:noWrap/>
            <w:hideMark/>
          </w:tcPr>
          <w:p w14:paraId="70041EBD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Consumer awards </w:t>
            </w:r>
          </w:p>
        </w:tc>
      </w:tr>
      <w:tr w:rsidR="00ED5323" w:rsidRPr="0044495C" w14:paraId="407E9DB8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768578A8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721" w:type="dxa"/>
            <w:noWrap/>
            <w:hideMark/>
          </w:tcPr>
          <w:p w14:paraId="7972B45F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Donations to charities for social activities and public benefit organizations </w:t>
            </w:r>
          </w:p>
        </w:tc>
      </w:tr>
      <w:tr w:rsidR="00ED5323" w:rsidRPr="0044495C" w14:paraId="7B6438F3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54756366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721" w:type="dxa"/>
            <w:noWrap/>
            <w:hideMark/>
          </w:tcPr>
          <w:p w14:paraId="36732BCD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Support for education (scholarships, conferences, seminars, student internships) </w:t>
            </w:r>
          </w:p>
        </w:tc>
      </w:tr>
      <w:tr w:rsidR="00ED5323" w:rsidRPr="0044495C" w14:paraId="3B00A6D8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4EE9CE8B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721" w:type="dxa"/>
            <w:noWrap/>
            <w:hideMark/>
          </w:tcPr>
          <w:p w14:paraId="7AA58588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Sponsorship of various sport and recreational projects</w:t>
            </w:r>
          </w:p>
        </w:tc>
      </w:tr>
      <w:tr w:rsidR="00ED5323" w:rsidRPr="0044495C" w14:paraId="660E3C98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230D90CD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721" w:type="dxa"/>
            <w:noWrap/>
            <w:hideMark/>
          </w:tcPr>
          <w:p w14:paraId="5A78C444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Sponsorship of artistic and cultural events </w:t>
            </w:r>
          </w:p>
        </w:tc>
      </w:tr>
      <w:tr w:rsidR="00ED5323" w:rsidRPr="0044495C" w14:paraId="3021E70B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4B376F88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21" w:type="dxa"/>
            <w:noWrap/>
            <w:hideMark/>
          </w:tcPr>
          <w:p w14:paraId="28BE85DB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Sponsorship of various public health initiatives, projects, and campaigns </w:t>
            </w:r>
          </w:p>
        </w:tc>
      </w:tr>
      <w:tr w:rsidR="00ED5323" w:rsidRPr="0044495C" w14:paraId="78238FCD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1FA96B96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721" w:type="dxa"/>
            <w:noWrap/>
            <w:hideMark/>
          </w:tcPr>
          <w:p w14:paraId="4191241F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Sponsorship of conferences and seminars</w:t>
            </w:r>
          </w:p>
        </w:tc>
      </w:tr>
      <w:tr w:rsidR="00ED5323" w:rsidRPr="0044495C" w14:paraId="5F2161ED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0750A3D0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721" w:type="dxa"/>
            <w:noWrap/>
            <w:hideMark/>
          </w:tcPr>
          <w:p w14:paraId="3BA90B40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 xml:space="preserve"> Support for local activities, industry, and agriculture </w:t>
            </w:r>
          </w:p>
        </w:tc>
      </w:tr>
      <w:tr w:rsidR="00ED5323" w:rsidRPr="0044495C" w14:paraId="59042DBA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1EB6AC79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721" w:type="dxa"/>
            <w:noWrap/>
            <w:hideMark/>
          </w:tcPr>
          <w:p w14:paraId="61035C98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Participation in social government campaigns</w:t>
            </w:r>
          </w:p>
        </w:tc>
      </w:tr>
      <w:tr w:rsidR="00ED5323" w:rsidRPr="0044495C" w14:paraId="52CACD4C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105B11BD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721" w:type="dxa"/>
            <w:noWrap/>
            <w:hideMark/>
          </w:tcPr>
          <w:p w14:paraId="10C438FC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Supporting the development of local industries and activities</w:t>
            </w:r>
          </w:p>
        </w:tc>
      </w:tr>
      <w:tr w:rsidR="00ED5323" w:rsidRPr="0044495C" w14:paraId="03F6C20F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4932CDD3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721" w:type="dxa"/>
            <w:noWrap/>
            <w:hideMark/>
          </w:tcPr>
          <w:p w14:paraId="3D0F031A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Aid to flood and disaster victims</w:t>
            </w:r>
          </w:p>
        </w:tc>
      </w:tr>
      <w:tr w:rsidR="00ED5323" w:rsidRPr="0044495C" w14:paraId="5116DC47" w14:textId="77777777" w:rsidTr="00B413E1">
        <w:trPr>
          <w:trHeight w:val="288"/>
        </w:trPr>
        <w:tc>
          <w:tcPr>
            <w:tcW w:w="639" w:type="dxa"/>
            <w:noWrap/>
            <w:hideMark/>
          </w:tcPr>
          <w:p w14:paraId="2C7F631C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721" w:type="dxa"/>
            <w:noWrap/>
            <w:hideMark/>
          </w:tcPr>
          <w:p w14:paraId="2E0A02B6" w14:textId="77777777" w:rsidR="00ED5323" w:rsidRPr="0044495C" w:rsidRDefault="00ED5323" w:rsidP="00B41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95C">
              <w:rPr>
                <w:rFonts w:ascii="Times New Roman" w:hAnsi="Times New Roman" w:cs="Times New Roman"/>
                <w:sz w:val="20"/>
                <w:szCs w:val="20"/>
              </w:rPr>
              <w:t>Provision of safe drinking water</w:t>
            </w:r>
          </w:p>
        </w:tc>
      </w:tr>
    </w:tbl>
    <w:p w14:paraId="750D79AA" w14:textId="77777777" w:rsidR="00ED5323" w:rsidRPr="0044495C" w:rsidRDefault="00ED5323" w:rsidP="00ED5323">
      <w:pPr>
        <w:rPr>
          <w:rFonts w:ascii="Times New Roman" w:hAnsi="Times New Roman" w:cs="Times New Roman"/>
        </w:rPr>
      </w:pPr>
    </w:p>
    <w:p w14:paraId="210161DA" w14:textId="77777777" w:rsidR="00ED5323" w:rsidRPr="0044495C" w:rsidRDefault="00ED5323" w:rsidP="00ED5323">
      <w:pPr>
        <w:rPr>
          <w:rFonts w:ascii="Times New Roman" w:hAnsi="Times New Roman" w:cs="Times New Roman"/>
          <w:b/>
          <w:bCs/>
        </w:rPr>
      </w:pPr>
      <w:r w:rsidRPr="0044495C">
        <w:rPr>
          <w:rFonts w:ascii="Times New Roman" w:hAnsi="Times New Roman" w:cs="Times New Roman"/>
          <w:b/>
          <w:bCs/>
        </w:rPr>
        <w:t>Appendix B</w:t>
      </w:r>
    </w:p>
    <w:tbl>
      <w:tblPr>
        <w:tblpPr w:leftFromText="180" w:rightFromText="180" w:vertAnchor="text" w:horzAnchor="margin" w:tblpY="-186"/>
        <w:tblW w:w="39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254"/>
      </w:tblGrid>
      <w:tr w:rsidR="00ED5323" w:rsidRPr="0044495C" w14:paraId="557BC2EB" w14:textId="77777777" w:rsidTr="00B413E1">
        <w:trPr>
          <w:trHeight w:val="336"/>
        </w:trPr>
        <w:tc>
          <w:tcPr>
            <w:tcW w:w="1696" w:type="dxa"/>
            <w:shd w:val="clear" w:color="auto" w:fill="auto"/>
            <w:noWrap/>
            <w:vAlign w:val="center"/>
          </w:tcPr>
          <w:p w14:paraId="4D139BAC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lastRenderedPageBreak/>
              <w:t>Code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447E729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Bank Name</w:t>
            </w:r>
          </w:p>
        </w:tc>
      </w:tr>
      <w:tr w:rsidR="00ED5323" w:rsidRPr="0044495C" w14:paraId="19BD633E" w14:textId="77777777" w:rsidTr="00B413E1">
        <w:trPr>
          <w:trHeight w:val="336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07F1A5F7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DMU1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5C789A1E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ALLAHABAD</w:t>
            </w:r>
          </w:p>
        </w:tc>
      </w:tr>
      <w:tr w:rsidR="00ED5323" w:rsidRPr="0044495C" w14:paraId="6584CB98" w14:textId="77777777" w:rsidTr="00B413E1">
        <w:trPr>
          <w:trHeight w:val="354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1194FC0C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DMU2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1B960685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ANDHRA BANK</w:t>
            </w:r>
          </w:p>
        </w:tc>
      </w:tr>
      <w:tr w:rsidR="00ED5323" w:rsidRPr="0044495C" w14:paraId="23BB5736" w14:textId="77777777" w:rsidTr="00B413E1">
        <w:trPr>
          <w:trHeight w:val="327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328377A9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DMU3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78926861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BANK OF BARODA</w:t>
            </w:r>
          </w:p>
        </w:tc>
      </w:tr>
      <w:tr w:rsidR="00ED5323" w:rsidRPr="0044495C" w14:paraId="4A8D3A6B" w14:textId="77777777" w:rsidTr="00B413E1">
        <w:trPr>
          <w:trHeight w:val="354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650D83C3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DMU4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5284C52D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BANK OF INDIA</w:t>
            </w:r>
          </w:p>
        </w:tc>
      </w:tr>
      <w:tr w:rsidR="00ED5323" w:rsidRPr="0044495C" w14:paraId="3C3C982D" w14:textId="77777777" w:rsidTr="00B413E1">
        <w:trPr>
          <w:trHeight w:val="237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27070A5E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DMU5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5425766A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BANK OF MAHARASHTRA</w:t>
            </w:r>
          </w:p>
        </w:tc>
      </w:tr>
      <w:tr w:rsidR="00ED5323" w:rsidRPr="0044495C" w14:paraId="5FA7B175" w14:textId="77777777" w:rsidTr="00B413E1">
        <w:trPr>
          <w:trHeight w:val="284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7BA6BDC0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DMU6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46CA72EC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CANARA BANK</w:t>
            </w:r>
          </w:p>
        </w:tc>
      </w:tr>
      <w:tr w:rsidR="00ED5323" w:rsidRPr="0044495C" w14:paraId="7609A674" w14:textId="77777777" w:rsidTr="00B413E1">
        <w:trPr>
          <w:trHeight w:val="329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3F4FBAA8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DMU7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70B8A11C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CENTRAL BANK OF INDIA</w:t>
            </w:r>
          </w:p>
        </w:tc>
      </w:tr>
      <w:tr w:rsidR="00ED5323" w:rsidRPr="0044495C" w14:paraId="390A404B" w14:textId="77777777" w:rsidTr="00B413E1">
        <w:trPr>
          <w:trHeight w:val="302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6B43B6EF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DMU8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1FCDE656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CORPORATION BANK</w:t>
            </w:r>
          </w:p>
        </w:tc>
      </w:tr>
      <w:tr w:rsidR="00ED5323" w:rsidRPr="0044495C" w14:paraId="016AFDD1" w14:textId="77777777" w:rsidTr="00B413E1">
        <w:trPr>
          <w:trHeight w:val="336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595148EC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DMU9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1E67711C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DENA BANK</w:t>
            </w:r>
          </w:p>
        </w:tc>
      </w:tr>
      <w:tr w:rsidR="00ED5323" w:rsidRPr="0044495C" w14:paraId="1D12628E" w14:textId="77777777" w:rsidTr="00B413E1">
        <w:trPr>
          <w:trHeight w:val="264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0097E8B6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DMU10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5EC740EB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INDIAN BANK</w:t>
            </w:r>
          </w:p>
        </w:tc>
      </w:tr>
      <w:tr w:rsidR="00ED5323" w:rsidRPr="0044495C" w14:paraId="62B1C11B" w14:textId="77777777" w:rsidTr="00B413E1">
        <w:trPr>
          <w:trHeight w:val="212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655BB162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DMU11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09B0E79A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INDIAN OVERSEAS BANK</w:t>
            </w:r>
          </w:p>
        </w:tc>
      </w:tr>
      <w:tr w:rsidR="00ED5323" w:rsidRPr="0044495C" w14:paraId="3C7B7F74" w14:textId="77777777" w:rsidTr="00B413E1">
        <w:trPr>
          <w:trHeight w:val="356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584A118F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DMU12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2C90723E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ORIENTAL BANK OF COMMERCE</w:t>
            </w:r>
          </w:p>
        </w:tc>
      </w:tr>
      <w:tr w:rsidR="00ED5323" w:rsidRPr="0044495C" w14:paraId="2E245311" w14:textId="77777777" w:rsidTr="00B413E1">
        <w:trPr>
          <w:trHeight w:val="356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68D55131" w14:textId="77777777" w:rsidR="00ED5323" w:rsidRPr="0044495C" w:rsidRDefault="00ED5323" w:rsidP="00B413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DMU13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14:paraId="5A98ACA6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PUNJAB &amp; SIND BANK</w:t>
            </w:r>
          </w:p>
        </w:tc>
      </w:tr>
    </w:tbl>
    <w:tbl>
      <w:tblPr>
        <w:tblpPr w:leftFromText="180" w:rightFromText="180" w:vertAnchor="text" w:horzAnchor="page" w:tblpX="5705" w:tblpY="-299"/>
        <w:tblW w:w="3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26"/>
      </w:tblGrid>
      <w:tr w:rsidR="00ED5323" w:rsidRPr="0044495C" w14:paraId="5CBF2097" w14:textId="77777777" w:rsidTr="00B413E1">
        <w:trPr>
          <w:trHeight w:val="348"/>
        </w:trPr>
        <w:tc>
          <w:tcPr>
            <w:tcW w:w="1129" w:type="dxa"/>
            <w:shd w:val="clear" w:color="auto" w:fill="auto"/>
            <w:noWrap/>
            <w:vAlign w:val="center"/>
          </w:tcPr>
          <w:p w14:paraId="42938932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Code</w:t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31030AB9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Bank Name</w:t>
            </w:r>
          </w:p>
        </w:tc>
      </w:tr>
      <w:tr w:rsidR="00ED5323" w:rsidRPr="0044495C" w14:paraId="4BDD1D7B" w14:textId="77777777" w:rsidTr="00B413E1">
        <w:trPr>
          <w:trHeight w:val="348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2B522257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DMU14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08FC2326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PUNJAB NATIONAL BANK</w:t>
            </w:r>
          </w:p>
        </w:tc>
      </w:tr>
      <w:tr w:rsidR="00ED5323" w:rsidRPr="0044495C" w14:paraId="73B40C53" w14:textId="77777777" w:rsidTr="00B413E1">
        <w:trPr>
          <w:trHeight w:val="348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CC0C5C1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DMU15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0A6F87A9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STATE BANK OF BIKANER</w:t>
            </w:r>
          </w:p>
        </w:tc>
      </w:tr>
      <w:tr w:rsidR="00ED5323" w:rsidRPr="0044495C" w14:paraId="01659DF4" w14:textId="77777777" w:rsidTr="00B413E1">
        <w:trPr>
          <w:trHeight w:val="357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D49B341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DMU16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6F6E9C0D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STATE BANK OF HYDERABAD</w:t>
            </w:r>
          </w:p>
        </w:tc>
      </w:tr>
      <w:tr w:rsidR="00ED5323" w:rsidRPr="0044495C" w14:paraId="0C564AE1" w14:textId="77777777" w:rsidTr="00B413E1">
        <w:trPr>
          <w:trHeight w:val="249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2695D9A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DMU17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0F38AD20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STATE BANK OF INDIA</w:t>
            </w:r>
          </w:p>
        </w:tc>
      </w:tr>
      <w:tr w:rsidR="00ED5323" w:rsidRPr="0044495C" w14:paraId="5801F85B" w14:textId="77777777" w:rsidTr="00B413E1">
        <w:trPr>
          <w:trHeight w:val="348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58355F1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DMU18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7A84E995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STATE BANK OF INDORE</w:t>
            </w:r>
          </w:p>
        </w:tc>
      </w:tr>
      <w:tr w:rsidR="00ED5323" w:rsidRPr="0044495C" w14:paraId="47BD4368" w14:textId="77777777" w:rsidTr="00B413E1">
        <w:trPr>
          <w:trHeight w:val="348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EA1A561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DMU19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7A5270C6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STATE BANK OF MYSORE</w:t>
            </w:r>
          </w:p>
        </w:tc>
      </w:tr>
      <w:tr w:rsidR="00ED5323" w:rsidRPr="0044495C" w14:paraId="62C79F3D" w14:textId="77777777" w:rsidTr="00B413E1">
        <w:trPr>
          <w:trHeight w:val="357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2CFC0C7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DMU20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37235D86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STATE BANK OF PATIALA</w:t>
            </w:r>
          </w:p>
        </w:tc>
      </w:tr>
      <w:tr w:rsidR="00ED5323" w:rsidRPr="0044495C" w14:paraId="1D7D3781" w14:textId="77777777" w:rsidTr="00B413E1">
        <w:trPr>
          <w:trHeight w:val="348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F34E4E4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DMU21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4B3DD0B9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STATE BANK OF Saurashtra</w:t>
            </w:r>
          </w:p>
        </w:tc>
      </w:tr>
      <w:tr w:rsidR="00ED5323" w:rsidRPr="0044495C" w14:paraId="2445D231" w14:textId="77777777" w:rsidTr="00B413E1">
        <w:trPr>
          <w:trHeight w:val="438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7C711B9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DMU22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5AFFD972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STATE BANK OF TRAVANCORE</w:t>
            </w:r>
          </w:p>
        </w:tc>
      </w:tr>
      <w:tr w:rsidR="00ED5323" w:rsidRPr="0044495C" w14:paraId="3FE21E96" w14:textId="77777777" w:rsidTr="00B413E1">
        <w:trPr>
          <w:trHeight w:val="348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259D6B3C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DMU23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23279093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SYNDICATE BANK</w:t>
            </w:r>
          </w:p>
        </w:tc>
      </w:tr>
      <w:tr w:rsidR="00ED5323" w:rsidRPr="0044495C" w14:paraId="14F09F53" w14:textId="77777777" w:rsidTr="00B413E1">
        <w:trPr>
          <w:trHeight w:val="438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0BC2965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DMU24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2D8CFDC8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UCO BANK</w:t>
            </w:r>
          </w:p>
        </w:tc>
      </w:tr>
      <w:tr w:rsidR="00ED5323" w:rsidRPr="0044495C" w14:paraId="76F350EA" w14:textId="77777777" w:rsidTr="00B413E1">
        <w:trPr>
          <w:trHeight w:val="348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E1CF96F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DMU25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6899FFB2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UNION BANK OF INDIA</w:t>
            </w:r>
          </w:p>
        </w:tc>
      </w:tr>
      <w:tr w:rsidR="00ED5323" w:rsidRPr="0044495C" w14:paraId="29799DDA" w14:textId="77777777" w:rsidTr="00B413E1">
        <w:trPr>
          <w:trHeight w:val="348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F740782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DMU26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5150F2A6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UNITED BANK OF INDIA</w:t>
            </w:r>
          </w:p>
        </w:tc>
      </w:tr>
      <w:tr w:rsidR="00ED5323" w:rsidRPr="0044495C" w14:paraId="1F3F074B" w14:textId="77777777" w:rsidTr="00B413E1">
        <w:trPr>
          <w:trHeight w:val="52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9A97BFA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DMU27</w:t>
            </w:r>
          </w:p>
        </w:tc>
        <w:tc>
          <w:tcPr>
            <w:tcW w:w="2826" w:type="dxa"/>
            <w:shd w:val="clear" w:color="auto" w:fill="auto"/>
            <w:vAlign w:val="center"/>
            <w:hideMark/>
          </w:tcPr>
          <w:p w14:paraId="3606001C" w14:textId="77777777" w:rsidR="00ED5323" w:rsidRPr="0044495C" w:rsidRDefault="00ED5323" w:rsidP="00B413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  <w:r w:rsidRPr="0044495C"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  <w:t>VIJAYA BANK</w:t>
            </w:r>
          </w:p>
        </w:tc>
      </w:tr>
    </w:tbl>
    <w:p w14:paraId="500788E9" w14:textId="77777777" w:rsidR="00ED5323" w:rsidRPr="0044495C" w:rsidRDefault="00ED5323" w:rsidP="00ED5323">
      <w:pPr>
        <w:rPr>
          <w:rFonts w:ascii="Times New Roman" w:hAnsi="Times New Roman" w:cs="Times New Roman"/>
        </w:rPr>
      </w:pPr>
    </w:p>
    <w:p w14:paraId="4C1C231E" w14:textId="77777777" w:rsidR="00ED5323" w:rsidRPr="0044495C" w:rsidRDefault="00ED5323" w:rsidP="00ED5323">
      <w:pPr>
        <w:rPr>
          <w:rFonts w:ascii="Times New Roman" w:hAnsi="Times New Roman" w:cs="Times New Roman"/>
        </w:rPr>
      </w:pPr>
      <w:r w:rsidRPr="0044495C">
        <w:rPr>
          <w:rFonts w:ascii="Times New Roman" w:hAnsi="Times New Roman" w:cs="Times New Roman"/>
        </w:rPr>
        <w:t xml:space="preserve">                                                                                    </w:t>
      </w:r>
    </w:p>
    <w:p w14:paraId="6E7C12E2" w14:textId="77777777" w:rsidR="00ED5323" w:rsidRPr="0044495C" w:rsidRDefault="00ED5323" w:rsidP="00ED5323">
      <w:pPr>
        <w:rPr>
          <w:rFonts w:ascii="Times New Roman" w:hAnsi="Times New Roman" w:cs="Times New Roman"/>
          <w:b/>
        </w:rPr>
      </w:pPr>
    </w:p>
    <w:p w14:paraId="28ED51E7" w14:textId="77777777" w:rsidR="00ED5323" w:rsidRPr="0044495C" w:rsidRDefault="00ED5323" w:rsidP="00ED5323">
      <w:pPr>
        <w:rPr>
          <w:rFonts w:ascii="Times New Roman" w:hAnsi="Times New Roman" w:cs="Times New Roman"/>
        </w:rPr>
      </w:pPr>
    </w:p>
    <w:p w14:paraId="336BD0AD" w14:textId="77777777" w:rsidR="00ED5323" w:rsidRPr="0044495C" w:rsidRDefault="00ED5323" w:rsidP="00ED5323">
      <w:pPr>
        <w:rPr>
          <w:rFonts w:ascii="Times New Roman" w:hAnsi="Times New Roman" w:cs="Times New Roman"/>
        </w:rPr>
      </w:pPr>
    </w:p>
    <w:p w14:paraId="4A315ACF" w14:textId="77777777" w:rsidR="00ED5323" w:rsidRPr="0044495C" w:rsidRDefault="00ED5323" w:rsidP="00ED5323">
      <w:pPr>
        <w:rPr>
          <w:rFonts w:ascii="Times New Roman" w:hAnsi="Times New Roman" w:cs="Times New Roman"/>
        </w:rPr>
      </w:pPr>
    </w:p>
    <w:p w14:paraId="6275887F" w14:textId="77777777" w:rsidR="00ED5323" w:rsidRPr="0044495C" w:rsidRDefault="00ED5323" w:rsidP="00ED5323">
      <w:pPr>
        <w:rPr>
          <w:rFonts w:ascii="Times New Roman" w:hAnsi="Times New Roman" w:cs="Times New Roman"/>
        </w:rPr>
      </w:pPr>
    </w:p>
    <w:p w14:paraId="52024D0C" w14:textId="77777777" w:rsidR="00ED5323" w:rsidRPr="0044495C" w:rsidRDefault="00ED5323" w:rsidP="00ED5323">
      <w:pPr>
        <w:rPr>
          <w:rFonts w:ascii="Times New Roman" w:hAnsi="Times New Roman" w:cs="Times New Roman"/>
        </w:rPr>
      </w:pPr>
    </w:p>
    <w:p w14:paraId="3D52A831" w14:textId="77777777" w:rsidR="00ED5323" w:rsidRPr="0044495C" w:rsidRDefault="00ED5323" w:rsidP="00ED5323">
      <w:pPr>
        <w:rPr>
          <w:rFonts w:ascii="Times New Roman" w:hAnsi="Times New Roman" w:cs="Times New Roman"/>
        </w:rPr>
      </w:pPr>
    </w:p>
    <w:p w14:paraId="270B29AF" w14:textId="77777777" w:rsidR="00ED5323" w:rsidRPr="0044495C" w:rsidRDefault="00ED5323" w:rsidP="00ED5323">
      <w:pPr>
        <w:rPr>
          <w:rFonts w:ascii="Times New Roman" w:hAnsi="Times New Roman" w:cs="Times New Roman"/>
        </w:rPr>
      </w:pPr>
    </w:p>
    <w:p w14:paraId="724AD5CB" w14:textId="77777777" w:rsidR="00ED5323" w:rsidRPr="0044495C" w:rsidRDefault="00ED5323" w:rsidP="00ED5323">
      <w:pPr>
        <w:rPr>
          <w:rFonts w:ascii="Times New Roman" w:hAnsi="Times New Roman" w:cs="Times New Roman"/>
        </w:rPr>
      </w:pPr>
    </w:p>
    <w:p w14:paraId="3BF8C7EE" w14:textId="77777777" w:rsidR="00ED5323" w:rsidRPr="0044495C" w:rsidRDefault="00ED5323" w:rsidP="00ED5323">
      <w:pPr>
        <w:rPr>
          <w:rFonts w:ascii="Times New Roman" w:hAnsi="Times New Roman" w:cs="Times New Roman"/>
        </w:rPr>
      </w:pPr>
    </w:p>
    <w:p w14:paraId="36EDA210" w14:textId="77777777" w:rsidR="00755780" w:rsidRDefault="00755780"/>
    <w:sectPr w:rsidR="00755780" w:rsidSect="009302B8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323"/>
    <w:rsid w:val="00755780"/>
    <w:rsid w:val="00857596"/>
    <w:rsid w:val="00ED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BF3DC"/>
  <w15:chartTrackingRefBased/>
  <w15:docId w15:val="{B7BDB329-73D5-410D-B6F8-3970EC14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323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3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3075</Characters>
  <Application>Microsoft Office Word</Application>
  <DocSecurity>0</DocSecurity>
  <Lines>25</Lines>
  <Paragraphs>7</Paragraphs>
  <ScaleCrop>false</ScaleCrop>
  <Company>Springer Nature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2024-01-24T07:29:00Z</dcterms:created>
  <dcterms:modified xsi:type="dcterms:W3CDTF">2024-01-24T07:29:00Z</dcterms:modified>
</cp:coreProperties>
</file>