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04F5F0" w14:textId="77777777" w:rsidR="00FD1144" w:rsidRPr="00C06792" w:rsidRDefault="00FD1144" w:rsidP="00FD1144">
      <w:pPr>
        <w:spacing w:line="360" w:lineRule="auto"/>
        <w:rPr>
          <w:rFonts w:ascii="Arial" w:hAnsi="Arial" w:cs="Arial"/>
          <w:b/>
          <w:bCs/>
        </w:rPr>
      </w:pPr>
      <w:r w:rsidRPr="007F11D7">
        <w:rPr>
          <w:rFonts w:ascii="Arial" w:hAnsi="Arial" w:cs="Arial"/>
          <w:b/>
          <w:bCs/>
        </w:rPr>
        <w:t xml:space="preserve">Supplemental </w:t>
      </w:r>
      <w:r>
        <w:rPr>
          <w:rFonts w:ascii="Arial" w:hAnsi="Arial" w:cs="Arial"/>
          <w:b/>
          <w:bCs/>
        </w:rPr>
        <w:t>t</w:t>
      </w:r>
      <w:r w:rsidRPr="009A0E5B">
        <w:rPr>
          <w:rFonts w:ascii="Arial" w:hAnsi="Arial" w:cs="Arial"/>
          <w:b/>
          <w:bCs/>
          <w:sz w:val="22"/>
          <w:szCs w:val="22"/>
        </w:rPr>
        <w:t>able 3</w:t>
      </w:r>
      <w:r w:rsidRPr="001768A5">
        <w:rPr>
          <w:rFonts w:ascii="Arial" w:hAnsi="Arial" w:cs="Arial"/>
          <w:sz w:val="22"/>
          <w:szCs w:val="22"/>
        </w:rPr>
        <w:t xml:space="preserve"> showed AUROC, sensitivity, specificity, positive predictive value (PPV) and negative predictive value (NPV) of APRI, NFS and FIB-4 in elderly NAFLD when elderly defined as≥65 according to McPherson et al.</w:t>
      </w:r>
    </w:p>
    <w:tbl>
      <w:tblPr>
        <w:tblStyle w:val="PlainTable1"/>
        <w:tblW w:w="9964" w:type="dxa"/>
        <w:tblLook w:val="04A0" w:firstRow="1" w:lastRow="0" w:firstColumn="1" w:lastColumn="0" w:noHBand="0" w:noVBand="1"/>
      </w:tblPr>
      <w:tblGrid>
        <w:gridCol w:w="988"/>
        <w:gridCol w:w="1842"/>
        <w:gridCol w:w="1134"/>
        <w:gridCol w:w="1276"/>
        <w:gridCol w:w="1418"/>
        <w:gridCol w:w="1417"/>
        <w:gridCol w:w="992"/>
        <w:gridCol w:w="897"/>
      </w:tblGrid>
      <w:tr w:rsidR="00FD1144" w:rsidRPr="00D76092" w14:paraId="700EBC55" w14:textId="77777777" w:rsidTr="003638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64" w:type="dxa"/>
            <w:gridSpan w:val="8"/>
            <w:noWrap/>
            <w:hideMark/>
          </w:tcPr>
          <w:p w14:paraId="035BB3D6" w14:textId="77777777" w:rsidR="00FD1144" w:rsidRPr="001768A5" w:rsidRDefault="00FD1144" w:rsidP="003638C9">
            <w:pPr>
              <w:pStyle w:val="EndNoteBibliography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Elderly NAFLD (defined as age≥65)</w:t>
            </w:r>
          </w:p>
        </w:tc>
      </w:tr>
      <w:tr w:rsidR="00FD1144" w:rsidRPr="00D76092" w14:paraId="47CD7F1D" w14:textId="77777777" w:rsidTr="003638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hideMark/>
          </w:tcPr>
          <w:p w14:paraId="005BED70" w14:textId="77777777" w:rsidR="00FD1144" w:rsidRPr="001768A5" w:rsidRDefault="00FD1144" w:rsidP="003638C9">
            <w:pPr>
              <w:pStyle w:val="EndNoteBibliography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Test</w:t>
            </w:r>
          </w:p>
        </w:tc>
        <w:tc>
          <w:tcPr>
            <w:tcW w:w="1842" w:type="dxa"/>
            <w:noWrap/>
            <w:hideMark/>
          </w:tcPr>
          <w:p w14:paraId="61B08C2C" w14:textId="77777777" w:rsidR="00FD1144" w:rsidRPr="001768A5" w:rsidRDefault="00FD1144" w:rsidP="003638C9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</w:rPr>
            </w:pPr>
            <w:r w:rsidRPr="001768A5">
              <w:rPr>
                <w:rFonts w:ascii="Arial" w:hAnsi="Arial" w:cs="Arial"/>
                <w:b/>
                <w:bCs/>
                <w:sz w:val="24"/>
              </w:rPr>
              <w:t>AUROC</w:t>
            </w:r>
          </w:p>
        </w:tc>
        <w:tc>
          <w:tcPr>
            <w:tcW w:w="1134" w:type="dxa"/>
            <w:noWrap/>
            <w:hideMark/>
          </w:tcPr>
          <w:p w14:paraId="4CFE4D73" w14:textId="77777777" w:rsidR="00FD1144" w:rsidRPr="001768A5" w:rsidRDefault="00FD1144" w:rsidP="003638C9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</w:rPr>
            </w:pPr>
            <w:r w:rsidRPr="001768A5">
              <w:rPr>
                <w:rFonts w:ascii="Arial" w:hAnsi="Arial" w:cs="Arial"/>
                <w:b/>
                <w:bCs/>
                <w:sz w:val="24"/>
              </w:rPr>
              <w:t>P-valve</w:t>
            </w:r>
          </w:p>
        </w:tc>
        <w:tc>
          <w:tcPr>
            <w:tcW w:w="1276" w:type="dxa"/>
            <w:noWrap/>
            <w:hideMark/>
          </w:tcPr>
          <w:p w14:paraId="52EE185B" w14:textId="77777777" w:rsidR="00FD1144" w:rsidRPr="001768A5" w:rsidRDefault="00FD1144" w:rsidP="003638C9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</w:rPr>
            </w:pPr>
            <w:r w:rsidRPr="001768A5">
              <w:rPr>
                <w:rFonts w:ascii="Arial" w:hAnsi="Arial" w:cs="Arial"/>
                <w:b/>
                <w:bCs/>
                <w:sz w:val="24"/>
              </w:rPr>
              <w:t>Cut</w:t>
            </w:r>
            <w:r>
              <w:rPr>
                <w:rFonts w:ascii="Arial" w:hAnsi="Arial" w:cs="Arial"/>
                <w:b/>
                <w:bCs/>
                <w:sz w:val="24"/>
              </w:rPr>
              <w:t>-</w:t>
            </w:r>
            <w:r w:rsidRPr="001768A5">
              <w:rPr>
                <w:rFonts w:ascii="Arial" w:hAnsi="Arial" w:cs="Arial"/>
                <w:b/>
                <w:bCs/>
                <w:sz w:val="24"/>
              </w:rPr>
              <w:t>offs</w:t>
            </w:r>
          </w:p>
        </w:tc>
        <w:tc>
          <w:tcPr>
            <w:tcW w:w="1418" w:type="dxa"/>
            <w:noWrap/>
            <w:hideMark/>
          </w:tcPr>
          <w:p w14:paraId="13294443" w14:textId="77777777" w:rsidR="00FD1144" w:rsidRPr="001768A5" w:rsidRDefault="00FD1144" w:rsidP="003638C9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</w:rPr>
            </w:pPr>
            <w:r w:rsidRPr="001768A5">
              <w:rPr>
                <w:rFonts w:ascii="Arial" w:hAnsi="Arial" w:cs="Arial"/>
                <w:b/>
                <w:bCs/>
                <w:sz w:val="24"/>
              </w:rPr>
              <w:t>Sensitivity</w:t>
            </w:r>
          </w:p>
        </w:tc>
        <w:tc>
          <w:tcPr>
            <w:tcW w:w="1417" w:type="dxa"/>
            <w:noWrap/>
            <w:hideMark/>
          </w:tcPr>
          <w:p w14:paraId="312C72B7" w14:textId="77777777" w:rsidR="00FD1144" w:rsidRPr="001768A5" w:rsidRDefault="00FD1144" w:rsidP="003638C9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</w:rPr>
            </w:pPr>
            <w:r w:rsidRPr="001768A5">
              <w:rPr>
                <w:rFonts w:ascii="Arial" w:hAnsi="Arial" w:cs="Arial"/>
                <w:b/>
                <w:bCs/>
                <w:sz w:val="24"/>
              </w:rPr>
              <w:t>Specificity</w:t>
            </w:r>
          </w:p>
        </w:tc>
        <w:tc>
          <w:tcPr>
            <w:tcW w:w="992" w:type="dxa"/>
            <w:noWrap/>
            <w:hideMark/>
          </w:tcPr>
          <w:p w14:paraId="1139AF0D" w14:textId="77777777" w:rsidR="00FD1144" w:rsidRPr="001768A5" w:rsidRDefault="00FD1144" w:rsidP="003638C9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</w:rPr>
            </w:pPr>
            <w:r w:rsidRPr="001768A5">
              <w:rPr>
                <w:rFonts w:ascii="Arial" w:hAnsi="Arial" w:cs="Arial"/>
                <w:b/>
                <w:bCs/>
                <w:sz w:val="24"/>
              </w:rPr>
              <w:t>PPV</w:t>
            </w:r>
          </w:p>
        </w:tc>
        <w:tc>
          <w:tcPr>
            <w:tcW w:w="897" w:type="dxa"/>
            <w:noWrap/>
            <w:hideMark/>
          </w:tcPr>
          <w:p w14:paraId="6CFD2DA8" w14:textId="77777777" w:rsidR="00FD1144" w:rsidRPr="001768A5" w:rsidRDefault="00FD1144" w:rsidP="003638C9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sz w:val="24"/>
              </w:rPr>
            </w:pPr>
            <w:r w:rsidRPr="001768A5">
              <w:rPr>
                <w:rFonts w:ascii="Arial" w:hAnsi="Arial" w:cs="Arial"/>
                <w:b/>
                <w:bCs/>
                <w:sz w:val="24"/>
              </w:rPr>
              <w:t>NPV</w:t>
            </w:r>
          </w:p>
        </w:tc>
      </w:tr>
      <w:tr w:rsidR="00FD1144" w:rsidRPr="00D76092" w14:paraId="477BEF03" w14:textId="77777777" w:rsidTr="003638C9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hideMark/>
          </w:tcPr>
          <w:p w14:paraId="319269C2" w14:textId="77777777" w:rsidR="00FD1144" w:rsidRPr="001768A5" w:rsidRDefault="00FD1144" w:rsidP="003638C9">
            <w:pPr>
              <w:pStyle w:val="EndNoteBibliography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APRI</w:t>
            </w:r>
          </w:p>
        </w:tc>
        <w:tc>
          <w:tcPr>
            <w:tcW w:w="1842" w:type="dxa"/>
            <w:noWrap/>
            <w:hideMark/>
          </w:tcPr>
          <w:p w14:paraId="58EFF25E" w14:textId="77777777" w:rsidR="00FD1144" w:rsidRPr="009A0E5B" w:rsidRDefault="00FD1144" w:rsidP="003638C9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0.57 (0.41-0.73)</w:t>
            </w:r>
          </w:p>
        </w:tc>
        <w:tc>
          <w:tcPr>
            <w:tcW w:w="1134" w:type="dxa"/>
            <w:noWrap/>
            <w:hideMark/>
          </w:tcPr>
          <w:p w14:paraId="0831F783" w14:textId="77777777" w:rsidR="00FD1144" w:rsidRPr="009A0E5B" w:rsidRDefault="00FD1144" w:rsidP="003638C9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0.42</w:t>
            </w:r>
          </w:p>
        </w:tc>
        <w:tc>
          <w:tcPr>
            <w:tcW w:w="1276" w:type="dxa"/>
            <w:noWrap/>
            <w:hideMark/>
          </w:tcPr>
          <w:p w14:paraId="7FF11DA0" w14:textId="77777777" w:rsidR="00FD1144" w:rsidRPr="009A0E5B" w:rsidRDefault="00FD1144" w:rsidP="003638C9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≥1</w:t>
            </w:r>
          </w:p>
        </w:tc>
        <w:tc>
          <w:tcPr>
            <w:tcW w:w="1418" w:type="dxa"/>
            <w:noWrap/>
            <w:hideMark/>
          </w:tcPr>
          <w:p w14:paraId="600A7670" w14:textId="77777777" w:rsidR="00FD1144" w:rsidRPr="009A0E5B" w:rsidRDefault="00FD1144" w:rsidP="003638C9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26.3%</w:t>
            </w:r>
          </w:p>
        </w:tc>
        <w:tc>
          <w:tcPr>
            <w:tcW w:w="1417" w:type="dxa"/>
            <w:noWrap/>
            <w:hideMark/>
          </w:tcPr>
          <w:p w14:paraId="0C6E9583" w14:textId="77777777" w:rsidR="00FD1144" w:rsidRPr="009A0E5B" w:rsidRDefault="00FD1144" w:rsidP="003638C9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73.0%</w:t>
            </w:r>
          </w:p>
        </w:tc>
        <w:tc>
          <w:tcPr>
            <w:tcW w:w="992" w:type="dxa"/>
            <w:noWrap/>
            <w:hideMark/>
          </w:tcPr>
          <w:p w14:paraId="096A6882" w14:textId="77777777" w:rsidR="00FD1144" w:rsidRPr="009A0E5B" w:rsidRDefault="00FD1144" w:rsidP="003638C9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33.3%</w:t>
            </w:r>
          </w:p>
        </w:tc>
        <w:tc>
          <w:tcPr>
            <w:tcW w:w="897" w:type="dxa"/>
            <w:noWrap/>
            <w:hideMark/>
          </w:tcPr>
          <w:p w14:paraId="5237F341" w14:textId="77777777" w:rsidR="00FD1144" w:rsidRPr="009A0E5B" w:rsidRDefault="00FD1144" w:rsidP="003638C9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65.9%</w:t>
            </w:r>
          </w:p>
        </w:tc>
      </w:tr>
      <w:tr w:rsidR="00FD1144" w:rsidRPr="00D76092" w14:paraId="49E028E5" w14:textId="77777777" w:rsidTr="003638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hideMark/>
          </w:tcPr>
          <w:p w14:paraId="788D1D3A" w14:textId="77777777" w:rsidR="00FD1144" w:rsidRPr="001768A5" w:rsidRDefault="00FD1144" w:rsidP="003638C9">
            <w:pPr>
              <w:pStyle w:val="EndNoteBibliography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 xml:space="preserve">NFS </w:t>
            </w:r>
          </w:p>
        </w:tc>
        <w:tc>
          <w:tcPr>
            <w:tcW w:w="1842" w:type="dxa"/>
            <w:noWrap/>
            <w:hideMark/>
          </w:tcPr>
          <w:p w14:paraId="58A743CA" w14:textId="77777777" w:rsidR="00FD1144" w:rsidRPr="009A0E5B" w:rsidRDefault="00FD1144" w:rsidP="003638C9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0.73 (0.59-0.87)</w:t>
            </w:r>
          </w:p>
        </w:tc>
        <w:tc>
          <w:tcPr>
            <w:tcW w:w="1134" w:type="dxa"/>
            <w:noWrap/>
            <w:hideMark/>
          </w:tcPr>
          <w:p w14:paraId="23E070D4" w14:textId="77777777" w:rsidR="00FD1144" w:rsidRPr="009A0E5B" w:rsidRDefault="00FD1144" w:rsidP="003638C9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0.01</w:t>
            </w:r>
          </w:p>
        </w:tc>
        <w:tc>
          <w:tcPr>
            <w:tcW w:w="1276" w:type="dxa"/>
            <w:noWrap/>
            <w:hideMark/>
          </w:tcPr>
          <w:p w14:paraId="745543B0" w14:textId="77777777" w:rsidR="00FD1144" w:rsidRPr="009A0E5B" w:rsidRDefault="00FD1144" w:rsidP="003638C9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&gt;0.676</w:t>
            </w:r>
          </w:p>
        </w:tc>
        <w:tc>
          <w:tcPr>
            <w:tcW w:w="1418" w:type="dxa"/>
            <w:noWrap/>
            <w:hideMark/>
          </w:tcPr>
          <w:p w14:paraId="0612AC81" w14:textId="77777777" w:rsidR="00FD1144" w:rsidRPr="009A0E5B" w:rsidRDefault="00FD1144" w:rsidP="003638C9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31.6%</w:t>
            </w:r>
          </w:p>
        </w:tc>
        <w:tc>
          <w:tcPr>
            <w:tcW w:w="1417" w:type="dxa"/>
            <w:noWrap/>
            <w:hideMark/>
          </w:tcPr>
          <w:p w14:paraId="15708431" w14:textId="77777777" w:rsidR="00FD1144" w:rsidRPr="009A0E5B" w:rsidRDefault="00FD1144" w:rsidP="003638C9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86.5%</w:t>
            </w:r>
          </w:p>
        </w:tc>
        <w:tc>
          <w:tcPr>
            <w:tcW w:w="992" w:type="dxa"/>
            <w:noWrap/>
            <w:hideMark/>
          </w:tcPr>
          <w:p w14:paraId="188C0F8A" w14:textId="77777777" w:rsidR="00FD1144" w:rsidRPr="009A0E5B" w:rsidRDefault="00FD1144" w:rsidP="003638C9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54.5%</w:t>
            </w:r>
          </w:p>
        </w:tc>
        <w:tc>
          <w:tcPr>
            <w:tcW w:w="897" w:type="dxa"/>
            <w:noWrap/>
            <w:hideMark/>
          </w:tcPr>
          <w:p w14:paraId="503CDC67" w14:textId="77777777" w:rsidR="00FD1144" w:rsidRPr="009A0E5B" w:rsidRDefault="00FD1144" w:rsidP="003638C9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71.1%</w:t>
            </w:r>
          </w:p>
        </w:tc>
      </w:tr>
      <w:tr w:rsidR="00FD1144" w:rsidRPr="00D76092" w14:paraId="30E59B68" w14:textId="77777777" w:rsidTr="003638C9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hideMark/>
          </w:tcPr>
          <w:p w14:paraId="378DABFD" w14:textId="77777777" w:rsidR="00FD1144" w:rsidRPr="001768A5" w:rsidRDefault="00FD1144" w:rsidP="003638C9">
            <w:pPr>
              <w:pStyle w:val="EndNoteBibliography"/>
              <w:rPr>
                <w:rFonts w:ascii="Arial" w:hAnsi="Arial" w:cs="Arial"/>
                <w:sz w:val="24"/>
              </w:rPr>
            </w:pPr>
          </w:p>
        </w:tc>
        <w:tc>
          <w:tcPr>
            <w:tcW w:w="1842" w:type="dxa"/>
            <w:noWrap/>
            <w:hideMark/>
          </w:tcPr>
          <w:p w14:paraId="510BD7BC" w14:textId="77777777" w:rsidR="00FD1144" w:rsidRPr="009A0E5B" w:rsidRDefault="00FD1144" w:rsidP="003638C9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noWrap/>
            <w:hideMark/>
          </w:tcPr>
          <w:p w14:paraId="4E60246F" w14:textId="77777777" w:rsidR="00FD1144" w:rsidRPr="009A0E5B" w:rsidRDefault="00FD1144" w:rsidP="003638C9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  <w:noWrap/>
            <w:hideMark/>
          </w:tcPr>
          <w:p w14:paraId="596287B2" w14:textId="5597C4F1" w:rsidR="00FD1144" w:rsidRPr="009A0E5B" w:rsidRDefault="00FD1144" w:rsidP="003638C9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&gt;0.12</w:t>
            </w:r>
            <w:r w:rsidR="0055026E">
              <w:rPr>
                <w:rFonts w:ascii="Arial" w:hAnsi="Arial" w:cs="Arial"/>
                <w:color w:val="1C1D1E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418" w:type="dxa"/>
            <w:noWrap/>
            <w:hideMark/>
          </w:tcPr>
          <w:p w14:paraId="33FC9B8B" w14:textId="77777777" w:rsidR="00FD1144" w:rsidRPr="009A0E5B" w:rsidRDefault="00FD1144" w:rsidP="003638C9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36.8%</w:t>
            </w:r>
          </w:p>
        </w:tc>
        <w:tc>
          <w:tcPr>
            <w:tcW w:w="1417" w:type="dxa"/>
            <w:noWrap/>
            <w:hideMark/>
          </w:tcPr>
          <w:p w14:paraId="7CE80234" w14:textId="77777777" w:rsidR="00FD1144" w:rsidRPr="009A0E5B" w:rsidRDefault="00FD1144" w:rsidP="003638C9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78.4%</w:t>
            </w:r>
          </w:p>
        </w:tc>
        <w:tc>
          <w:tcPr>
            <w:tcW w:w="992" w:type="dxa"/>
            <w:noWrap/>
            <w:hideMark/>
          </w:tcPr>
          <w:p w14:paraId="6BA97581" w14:textId="77777777" w:rsidR="00FD1144" w:rsidRPr="009A0E5B" w:rsidRDefault="00FD1144" w:rsidP="003638C9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46.7%</w:t>
            </w:r>
          </w:p>
        </w:tc>
        <w:tc>
          <w:tcPr>
            <w:tcW w:w="897" w:type="dxa"/>
            <w:noWrap/>
            <w:hideMark/>
          </w:tcPr>
          <w:p w14:paraId="5F0DD65D" w14:textId="77777777" w:rsidR="00FD1144" w:rsidRPr="009A0E5B" w:rsidRDefault="00FD1144" w:rsidP="003638C9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70.7%</w:t>
            </w:r>
          </w:p>
        </w:tc>
      </w:tr>
      <w:tr w:rsidR="00FD1144" w:rsidRPr="00D76092" w14:paraId="7BA47BAA" w14:textId="77777777" w:rsidTr="003638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hideMark/>
          </w:tcPr>
          <w:p w14:paraId="7387B4A7" w14:textId="77777777" w:rsidR="00FD1144" w:rsidRPr="001768A5" w:rsidRDefault="00FD1144" w:rsidP="003638C9">
            <w:pPr>
              <w:pStyle w:val="EndNoteBibliography"/>
              <w:rPr>
                <w:rFonts w:ascii="Arial" w:hAnsi="Arial" w:cs="Arial"/>
                <w:sz w:val="24"/>
              </w:rPr>
            </w:pPr>
          </w:p>
        </w:tc>
        <w:tc>
          <w:tcPr>
            <w:tcW w:w="1842" w:type="dxa"/>
            <w:noWrap/>
            <w:hideMark/>
          </w:tcPr>
          <w:p w14:paraId="382A5CA2" w14:textId="77777777" w:rsidR="00FD1144" w:rsidRPr="009A0E5B" w:rsidRDefault="00FD1144" w:rsidP="003638C9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noWrap/>
            <w:hideMark/>
          </w:tcPr>
          <w:p w14:paraId="4C309754" w14:textId="77777777" w:rsidR="00FD1144" w:rsidRPr="009A0E5B" w:rsidRDefault="00FD1144" w:rsidP="003638C9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  <w:noWrap/>
            <w:hideMark/>
          </w:tcPr>
          <w:p w14:paraId="7F2A619B" w14:textId="77777777" w:rsidR="00FD1144" w:rsidRPr="009A0E5B" w:rsidRDefault="00FD1144" w:rsidP="003638C9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&gt;-1.455</w:t>
            </w:r>
          </w:p>
        </w:tc>
        <w:tc>
          <w:tcPr>
            <w:tcW w:w="1418" w:type="dxa"/>
            <w:noWrap/>
            <w:hideMark/>
          </w:tcPr>
          <w:p w14:paraId="17EF6D53" w14:textId="77777777" w:rsidR="00FD1144" w:rsidRPr="009A0E5B" w:rsidRDefault="00FD1144" w:rsidP="003638C9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89.5%</w:t>
            </w:r>
          </w:p>
        </w:tc>
        <w:tc>
          <w:tcPr>
            <w:tcW w:w="1417" w:type="dxa"/>
            <w:noWrap/>
            <w:hideMark/>
          </w:tcPr>
          <w:p w14:paraId="5741BFED" w14:textId="77777777" w:rsidR="00FD1144" w:rsidRPr="009A0E5B" w:rsidRDefault="00FD1144" w:rsidP="003638C9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32.4%</w:t>
            </w:r>
          </w:p>
        </w:tc>
        <w:tc>
          <w:tcPr>
            <w:tcW w:w="992" w:type="dxa"/>
            <w:noWrap/>
            <w:hideMark/>
          </w:tcPr>
          <w:p w14:paraId="106CB879" w14:textId="77777777" w:rsidR="00FD1144" w:rsidRPr="009A0E5B" w:rsidRDefault="00FD1144" w:rsidP="003638C9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40.5%</w:t>
            </w:r>
          </w:p>
        </w:tc>
        <w:tc>
          <w:tcPr>
            <w:tcW w:w="897" w:type="dxa"/>
            <w:noWrap/>
            <w:hideMark/>
          </w:tcPr>
          <w:p w14:paraId="35EDB779" w14:textId="77777777" w:rsidR="00FD1144" w:rsidRPr="009A0E5B" w:rsidRDefault="00FD1144" w:rsidP="003638C9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85.7%</w:t>
            </w:r>
          </w:p>
        </w:tc>
      </w:tr>
      <w:tr w:rsidR="00FD1144" w:rsidRPr="00D76092" w14:paraId="6B597B0F" w14:textId="77777777" w:rsidTr="003638C9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hideMark/>
          </w:tcPr>
          <w:p w14:paraId="7029195F" w14:textId="77777777" w:rsidR="00FD1144" w:rsidRPr="001768A5" w:rsidRDefault="00FD1144" w:rsidP="003638C9">
            <w:pPr>
              <w:pStyle w:val="EndNoteBibliography"/>
              <w:rPr>
                <w:rFonts w:ascii="Arial" w:hAnsi="Arial" w:cs="Arial"/>
                <w:sz w:val="24"/>
              </w:rPr>
            </w:pPr>
            <w:r w:rsidRPr="001768A5">
              <w:rPr>
                <w:rFonts w:ascii="Arial" w:hAnsi="Arial" w:cs="Arial"/>
                <w:sz w:val="24"/>
              </w:rPr>
              <w:t>FIB-4</w:t>
            </w:r>
          </w:p>
        </w:tc>
        <w:tc>
          <w:tcPr>
            <w:tcW w:w="1842" w:type="dxa"/>
            <w:noWrap/>
            <w:hideMark/>
          </w:tcPr>
          <w:p w14:paraId="73BF5203" w14:textId="77777777" w:rsidR="00FD1144" w:rsidRPr="009A0E5B" w:rsidRDefault="00FD1144" w:rsidP="003638C9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0.61 (0.46-0.77)</w:t>
            </w:r>
          </w:p>
        </w:tc>
        <w:tc>
          <w:tcPr>
            <w:tcW w:w="1134" w:type="dxa"/>
            <w:noWrap/>
            <w:hideMark/>
          </w:tcPr>
          <w:p w14:paraId="0DBA2AB7" w14:textId="77777777" w:rsidR="00FD1144" w:rsidRPr="009A0E5B" w:rsidRDefault="00FD1144" w:rsidP="003638C9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0.17</w:t>
            </w:r>
          </w:p>
        </w:tc>
        <w:tc>
          <w:tcPr>
            <w:tcW w:w="1276" w:type="dxa"/>
            <w:noWrap/>
            <w:hideMark/>
          </w:tcPr>
          <w:p w14:paraId="3A055811" w14:textId="77777777" w:rsidR="00FD1144" w:rsidRPr="009A0E5B" w:rsidRDefault="00FD1144" w:rsidP="003638C9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&gt;2.67</w:t>
            </w:r>
          </w:p>
        </w:tc>
        <w:tc>
          <w:tcPr>
            <w:tcW w:w="1418" w:type="dxa"/>
            <w:noWrap/>
            <w:hideMark/>
          </w:tcPr>
          <w:p w14:paraId="7A1056BE" w14:textId="77777777" w:rsidR="00FD1144" w:rsidRPr="009A0E5B" w:rsidRDefault="00FD1144" w:rsidP="003638C9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42.1%</w:t>
            </w:r>
          </w:p>
        </w:tc>
        <w:tc>
          <w:tcPr>
            <w:tcW w:w="1417" w:type="dxa"/>
            <w:noWrap/>
            <w:hideMark/>
          </w:tcPr>
          <w:p w14:paraId="5FDCBDAB" w14:textId="77777777" w:rsidR="00FD1144" w:rsidRPr="009A0E5B" w:rsidRDefault="00FD1144" w:rsidP="003638C9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70.3%</w:t>
            </w:r>
          </w:p>
        </w:tc>
        <w:tc>
          <w:tcPr>
            <w:tcW w:w="992" w:type="dxa"/>
            <w:noWrap/>
            <w:hideMark/>
          </w:tcPr>
          <w:p w14:paraId="326532B2" w14:textId="77777777" w:rsidR="00FD1144" w:rsidRPr="009A0E5B" w:rsidRDefault="00FD1144" w:rsidP="003638C9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42.1%</w:t>
            </w:r>
          </w:p>
        </w:tc>
        <w:tc>
          <w:tcPr>
            <w:tcW w:w="897" w:type="dxa"/>
            <w:noWrap/>
            <w:hideMark/>
          </w:tcPr>
          <w:p w14:paraId="6F56ADE1" w14:textId="77777777" w:rsidR="00FD1144" w:rsidRPr="009A0E5B" w:rsidRDefault="00FD1144" w:rsidP="003638C9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70.3%</w:t>
            </w:r>
          </w:p>
        </w:tc>
      </w:tr>
      <w:tr w:rsidR="00FD1144" w:rsidRPr="00D76092" w14:paraId="5BBB8A41" w14:textId="77777777" w:rsidTr="003638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hideMark/>
          </w:tcPr>
          <w:p w14:paraId="62D2E50F" w14:textId="77777777" w:rsidR="00FD1144" w:rsidRPr="001768A5" w:rsidRDefault="00FD1144" w:rsidP="003638C9">
            <w:pPr>
              <w:pStyle w:val="EndNoteBibliography"/>
              <w:rPr>
                <w:rFonts w:ascii="Arial" w:hAnsi="Arial" w:cs="Arial"/>
                <w:sz w:val="24"/>
              </w:rPr>
            </w:pPr>
          </w:p>
        </w:tc>
        <w:tc>
          <w:tcPr>
            <w:tcW w:w="1842" w:type="dxa"/>
            <w:noWrap/>
            <w:hideMark/>
          </w:tcPr>
          <w:p w14:paraId="4FAA5EF8" w14:textId="77777777" w:rsidR="00FD1144" w:rsidRPr="009A0E5B" w:rsidRDefault="00FD1144" w:rsidP="003638C9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noWrap/>
            <w:hideMark/>
          </w:tcPr>
          <w:p w14:paraId="560A26DC" w14:textId="77777777" w:rsidR="00FD1144" w:rsidRPr="009A0E5B" w:rsidRDefault="00FD1144" w:rsidP="003638C9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  <w:noWrap/>
            <w:hideMark/>
          </w:tcPr>
          <w:p w14:paraId="5E81ACCC" w14:textId="5457EEE9" w:rsidR="00FD1144" w:rsidRPr="0055026E" w:rsidRDefault="00FD1144" w:rsidP="003638C9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Browallia New" w:hint="cs"/>
                <w:sz w:val="22"/>
                <w:szCs w:val="26"/>
                <w:cs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&gt;2</w:t>
            </w:r>
            <w:r w:rsidR="0055026E">
              <w:rPr>
                <w:rFonts w:ascii="Arial" w:hAnsi="Arial" w:cs="Arial"/>
                <w:color w:val="1C1D1E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418" w:type="dxa"/>
            <w:noWrap/>
            <w:hideMark/>
          </w:tcPr>
          <w:p w14:paraId="2FCEF703" w14:textId="77777777" w:rsidR="00FD1144" w:rsidRPr="009A0E5B" w:rsidRDefault="00FD1144" w:rsidP="003638C9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57.9%</w:t>
            </w:r>
          </w:p>
        </w:tc>
        <w:tc>
          <w:tcPr>
            <w:tcW w:w="1417" w:type="dxa"/>
            <w:noWrap/>
            <w:hideMark/>
          </w:tcPr>
          <w:p w14:paraId="31E6ECF5" w14:textId="77777777" w:rsidR="00FD1144" w:rsidRPr="009A0E5B" w:rsidRDefault="00FD1144" w:rsidP="003638C9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62.2%</w:t>
            </w:r>
          </w:p>
        </w:tc>
        <w:tc>
          <w:tcPr>
            <w:tcW w:w="992" w:type="dxa"/>
            <w:noWrap/>
            <w:hideMark/>
          </w:tcPr>
          <w:p w14:paraId="031D35B2" w14:textId="77777777" w:rsidR="00FD1144" w:rsidRPr="009A0E5B" w:rsidRDefault="00FD1144" w:rsidP="003638C9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44.0%</w:t>
            </w:r>
          </w:p>
        </w:tc>
        <w:tc>
          <w:tcPr>
            <w:tcW w:w="897" w:type="dxa"/>
            <w:noWrap/>
            <w:hideMark/>
          </w:tcPr>
          <w:p w14:paraId="12A1941B" w14:textId="77777777" w:rsidR="00FD1144" w:rsidRPr="009A0E5B" w:rsidRDefault="00FD1144" w:rsidP="003638C9">
            <w:pPr>
              <w:pStyle w:val="EndNoteBibliography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74.2%</w:t>
            </w:r>
          </w:p>
        </w:tc>
      </w:tr>
      <w:tr w:rsidR="00FD1144" w:rsidRPr="00D76092" w14:paraId="6C371BE9" w14:textId="77777777" w:rsidTr="003638C9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8" w:type="dxa"/>
            <w:noWrap/>
            <w:hideMark/>
          </w:tcPr>
          <w:p w14:paraId="44B3C42B" w14:textId="77777777" w:rsidR="00FD1144" w:rsidRPr="001768A5" w:rsidRDefault="00FD1144" w:rsidP="003638C9">
            <w:pPr>
              <w:pStyle w:val="EndNoteBibliography"/>
              <w:rPr>
                <w:rFonts w:ascii="Arial" w:hAnsi="Arial" w:cs="Arial"/>
                <w:sz w:val="24"/>
              </w:rPr>
            </w:pPr>
          </w:p>
        </w:tc>
        <w:tc>
          <w:tcPr>
            <w:tcW w:w="1842" w:type="dxa"/>
            <w:noWrap/>
            <w:hideMark/>
          </w:tcPr>
          <w:p w14:paraId="3F797652" w14:textId="77777777" w:rsidR="00FD1144" w:rsidRPr="009A0E5B" w:rsidRDefault="00FD1144" w:rsidP="003638C9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34" w:type="dxa"/>
            <w:noWrap/>
            <w:hideMark/>
          </w:tcPr>
          <w:p w14:paraId="31BCF351" w14:textId="77777777" w:rsidR="00FD1144" w:rsidRPr="009A0E5B" w:rsidRDefault="00FD1144" w:rsidP="003638C9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276" w:type="dxa"/>
            <w:noWrap/>
            <w:hideMark/>
          </w:tcPr>
          <w:p w14:paraId="38CF47DD" w14:textId="77777777" w:rsidR="00FD1144" w:rsidRPr="009A0E5B" w:rsidRDefault="00FD1144" w:rsidP="003638C9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&gt;1.3</w:t>
            </w:r>
          </w:p>
        </w:tc>
        <w:tc>
          <w:tcPr>
            <w:tcW w:w="1418" w:type="dxa"/>
            <w:noWrap/>
            <w:hideMark/>
          </w:tcPr>
          <w:p w14:paraId="0304B02C" w14:textId="77777777" w:rsidR="00FD1144" w:rsidRPr="009A0E5B" w:rsidRDefault="00FD1144" w:rsidP="003638C9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78.9%</w:t>
            </w:r>
          </w:p>
        </w:tc>
        <w:tc>
          <w:tcPr>
            <w:tcW w:w="1417" w:type="dxa"/>
            <w:noWrap/>
            <w:hideMark/>
          </w:tcPr>
          <w:p w14:paraId="65E73504" w14:textId="77777777" w:rsidR="00FD1144" w:rsidRPr="009A0E5B" w:rsidRDefault="00FD1144" w:rsidP="003638C9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37.8%</w:t>
            </w:r>
          </w:p>
        </w:tc>
        <w:tc>
          <w:tcPr>
            <w:tcW w:w="992" w:type="dxa"/>
            <w:noWrap/>
            <w:hideMark/>
          </w:tcPr>
          <w:p w14:paraId="71E9BAA9" w14:textId="77777777" w:rsidR="00FD1144" w:rsidRPr="009A0E5B" w:rsidRDefault="00FD1144" w:rsidP="003638C9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39.5%</w:t>
            </w:r>
          </w:p>
        </w:tc>
        <w:tc>
          <w:tcPr>
            <w:tcW w:w="897" w:type="dxa"/>
            <w:noWrap/>
            <w:hideMark/>
          </w:tcPr>
          <w:p w14:paraId="2EAADEEE" w14:textId="77777777" w:rsidR="00FD1144" w:rsidRPr="009A0E5B" w:rsidRDefault="00FD1144" w:rsidP="003638C9">
            <w:pPr>
              <w:pStyle w:val="EndNoteBibliography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9A0E5B">
              <w:rPr>
                <w:rFonts w:ascii="Arial" w:hAnsi="Arial" w:cs="Arial"/>
                <w:sz w:val="22"/>
                <w:szCs w:val="22"/>
              </w:rPr>
              <w:t>77.8%</w:t>
            </w:r>
          </w:p>
        </w:tc>
      </w:tr>
    </w:tbl>
    <w:p w14:paraId="1936B67A" w14:textId="4C568A6B" w:rsidR="00FD1144" w:rsidRDefault="00FD1144" w:rsidP="00FD1144">
      <w:pPr>
        <w:rPr>
          <w:rFonts w:ascii="Arial" w:eastAsia="Calibri" w:hAnsi="Arial" w:cs="Arial"/>
        </w:rPr>
      </w:pPr>
      <w:r w:rsidRPr="00D76092">
        <w:rPr>
          <w:rFonts w:ascii="Arial" w:eastAsia="Calibri" w:hAnsi="Arial" w:cs="Arial"/>
          <w:b/>
          <w:bCs/>
        </w:rPr>
        <w:t>NOTE:</w:t>
      </w:r>
      <w:r w:rsidRPr="00D76092">
        <w:rPr>
          <w:rFonts w:ascii="Arial" w:eastAsia="Calibri" w:hAnsi="Arial" w:cs="Arial"/>
        </w:rPr>
        <w:t xml:space="preserve"> </w:t>
      </w:r>
      <w:r w:rsidR="0055026E">
        <w:rPr>
          <w:rFonts w:ascii="Arial" w:hAnsi="Arial" w:cs="Arial"/>
          <w:color w:val="1C1D1E"/>
          <w:sz w:val="21"/>
          <w:szCs w:val="21"/>
        </w:rPr>
        <w:t>a</w:t>
      </w:r>
      <w:r>
        <w:rPr>
          <w:rFonts w:ascii="Arial" w:hAnsi="Arial" w:cs="Arial"/>
          <w:color w:val="1C1D1E"/>
          <w:sz w:val="21"/>
          <w:szCs w:val="21"/>
        </w:rPr>
        <w:t xml:space="preserve"> </w:t>
      </w:r>
      <w:r w:rsidRPr="00D76092">
        <w:rPr>
          <w:rFonts w:ascii="Arial" w:eastAsia="Calibri" w:hAnsi="Arial" w:cs="Arial"/>
        </w:rPr>
        <w:t>cut off according to McPherson et al</w:t>
      </w:r>
    </w:p>
    <w:p w14:paraId="124C526D" w14:textId="77777777" w:rsidR="00AC62FB" w:rsidRDefault="00AC62FB">
      <w:bookmarkStart w:id="0" w:name="_GoBack"/>
      <w:bookmarkEnd w:id="0"/>
    </w:p>
    <w:sectPr w:rsidR="00AC62F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144"/>
    <w:rsid w:val="0055026E"/>
    <w:rsid w:val="00AC62FB"/>
    <w:rsid w:val="00FD1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4270BA"/>
  <w15:chartTrackingRefBased/>
  <w15:docId w15:val="{65146A8F-95CA-4694-AF08-14C5B9E03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1144"/>
    <w:pPr>
      <w:spacing w:after="0" w:line="240" w:lineRule="auto"/>
    </w:pPr>
    <w:rPr>
      <w:rFonts w:ascii="Times New Roman" w:eastAsiaTheme="minorEastAsia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rsid w:val="00FD1144"/>
    <w:pPr>
      <w:spacing w:line="360" w:lineRule="auto"/>
    </w:pPr>
    <w:rPr>
      <w:rFonts w:ascii="Cordia New" w:hAnsi="Cordia New" w:cs="Cordia New"/>
      <w:sz w:val="32"/>
    </w:rPr>
  </w:style>
  <w:style w:type="table" w:styleId="PlainTable1">
    <w:name w:val="Plain Table 1"/>
    <w:basedOn w:val="TableNormal"/>
    <w:uiPriority w:val="41"/>
    <w:rsid w:val="00FD1144"/>
    <w:pPr>
      <w:spacing w:after="0" w:line="240" w:lineRule="auto"/>
    </w:pPr>
    <w:rPr>
      <w:rFonts w:eastAsiaTheme="minorEastAsia"/>
      <w:sz w:val="24"/>
      <w:szCs w:val="30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panyavee pitisuttithum</dc:creator>
  <cp:keywords/>
  <dc:description/>
  <cp:lastModifiedBy>panyavee pitisuttithum</cp:lastModifiedBy>
  <cp:revision>2</cp:revision>
  <dcterms:created xsi:type="dcterms:W3CDTF">2019-04-20T09:27:00Z</dcterms:created>
  <dcterms:modified xsi:type="dcterms:W3CDTF">2019-05-05T04:12:00Z</dcterms:modified>
</cp:coreProperties>
</file>