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85E36" w14:textId="2163E405" w:rsidR="00F4292C" w:rsidRPr="00C06792" w:rsidRDefault="00F4292C" w:rsidP="00F4292C">
      <w:pPr>
        <w:spacing w:line="360" w:lineRule="auto"/>
        <w:rPr>
          <w:rFonts w:ascii="Arial" w:hAnsi="Arial" w:cs="Arial"/>
          <w:b/>
          <w:bCs/>
        </w:rPr>
      </w:pPr>
      <w:bookmarkStart w:id="0" w:name="_GoBack"/>
      <w:r w:rsidRPr="007F11D7">
        <w:rPr>
          <w:rFonts w:ascii="Arial" w:hAnsi="Arial" w:cs="Arial"/>
          <w:b/>
          <w:bCs/>
        </w:rPr>
        <w:t>Supplemental</w:t>
      </w:r>
      <w:r>
        <w:rPr>
          <w:rFonts w:ascii="Arial" w:hAnsi="Arial" w:cs="Arial"/>
          <w:b/>
          <w:bCs/>
        </w:rPr>
        <w:t xml:space="preserve"> t</w:t>
      </w:r>
      <w:r w:rsidRPr="009A0E5B">
        <w:rPr>
          <w:rFonts w:ascii="Arial" w:hAnsi="Arial" w:cs="Arial"/>
          <w:b/>
          <w:bCs/>
        </w:rPr>
        <w:t>able1</w:t>
      </w:r>
      <w:r w:rsidRPr="001768A5">
        <w:rPr>
          <w:rFonts w:ascii="Arial" w:hAnsi="Arial" w:cs="Arial"/>
        </w:rPr>
        <w:t xml:space="preserve"> </w:t>
      </w:r>
      <w:bookmarkEnd w:id="0"/>
      <w:r w:rsidRPr="001768A5">
        <w:rPr>
          <w:rFonts w:ascii="Arial" w:hAnsi="Arial" w:cs="Arial"/>
        </w:rPr>
        <w:t>showed comparison between percentage of advanced fibrosis in elderly NAFLD patients and non-elderly NAFLD patients.</w:t>
      </w:r>
    </w:p>
    <w:tbl>
      <w:tblPr>
        <w:tblStyle w:val="PlainTable1"/>
        <w:tblW w:w="0" w:type="auto"/>
        <w:tblLayout w:type="fixed"/>
        <w:tblLook w:val="04A0" w:firstRow="1" w:lastRow="0" w:firstColumn="1" w:lastColumn="0" w:noHBand="0" w:noVBand="1"/>
      </w:tblPr>
      <w:tblGrid>
        <w:gridCol w:w="2252"/>
        <w:gridCol w:w="2253"/>
        <w:gridCol w:w="2252"/>
        <w:gridCol w:w="2253"/>
      </w:tblGrid>
      <w:tr w:rsidR="00F4292C" w:rsidRPr="00851B6E" w14:paraId="1951DAC2" w14:textId="77777777" w:rsidTr="003638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shd w:val="clear" w:color="auto" w:fill="D0CECE" w:themeFill="background2" w:themeFillShade="E6"/>
            <w:noWrap/>
          </w:tcPr>
          <w:p w14:paraId="3B82E1F5" w14:textId="77777777" w:rsidR="00F4292C" w:rsidRPr="001768A5" w:rsidRDefault="00F4292C" w:rsidP="003638C9">
            <w:pPr>
              <w:pStyle w:val="EndNoteBibliography"/>
              <w:jc w:val="center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Patient with advanced fibrosis</w:t>
            </w:r>
          </w:p>
        </w:tc>
        <w:tc>
          <w:tcPr>
            <w:tcW w:w="2253" w:type="dxa"/>
            <w:shd w:val="clear" w:color="auto" w:fill="D0CECE" w:themeFill="background2" w:themeFillShade="E6"/>
            <w:noWrap/>
          </w:tcPr>
          <w:p w14:paraId="27235184" w14:textId="77777777" w:rsidR="00F4292C" w:rsidRPr="001768A5" w:rsidRDefault="00F4292C" w:rsidP="003638C9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All patients</w:t>
            </w:r>
          </w:p>
        </w:tc>
        <w:tc>
          <w:tcPr>
            <w:tcW w:w="2252" w:type="dxa"/>
            <w:shd w:val="clear" w:color="auto" w:fill="D0CECE" w:themeFill="background2" w:themeFillShade="E6"/>
            <w:noWrap/>
          </w:tcPr>
          <w:p w14:paraId="10FB02CF" w14:textId="77777777" w:rsidR="00F4292C" w:rsidRPr="001768A5" w:rsidRDefault="00F4292C" w:rsidP="003638C9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Elderly NAFLD patients</w:t>
            </w:r>
          </w:p>
        </w:tc>
        <w:tc>
          <w:tcPr>
            <w:tcW w:w="2253" w:type="dxa"/>
            <w:shd w:val="clear" w:color="auto" w:fill="D0CECE" w:themeFill="background2" w:themeFillShade="E6"/>
            <w:noWrap/>
          </w:tcPr>
          <w:p w14:paraId="08A7681D" w14:textId="77777777" w:rsidR="00F4292C" w:rsidRPr="001768A5" w:rsidRDefault="00F4292C" w:rsidP="003638C9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Non-elderly NAFLD patients</w:t>
            </w:r>
          </w:p>
        </w:tc>
      </w:tr>
      <w:tr w:rsidR="00F4292C" w:rsidRPr="00851B6E" w14:paraId="22987464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4"/>
            <w:noWrap/>
            <w:hideMark/>
          </w:tcPr>
          <w:p w14:paraId="7441FD1F" w14:textId="77777777" w:rsidR="00F4292C" w:rsidRPr="001768A5" w:rsidRDefault="00F4292C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Non-invasive fibrosis scores</w:t>
            </w:r>
          </w:p>
        </w:tc>
      </w:tr>
      <w:tr w:rsidR="00F4292C" w:rsidRPr="00851B6E" w14:paraId="739D7A6E" w14:textId="77777777" w:rsidTr="003638C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noWrap/>
            <w:hideMark/>
          </w:tcPr>
          <w:p w14:paraId="4DB5E9FB" w14:textId="77777777" w:rsidR="00F4292C" w:rsidRPr="001768A5" w:rsidRDefault="00F4292C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APRI</w:t>
            </w:r>
          </w:p>
        </w:tc>
        <w:tc>
          <w:tcPr>
            <w:tcW w:w="2253" w:type="dxa"/>
            <w:noWrap/>
            <w:hideMark/>
          </w:tcPr>
          <w:p w14:paraId="56DE313A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105 (15%)</w:t>
            </w:r>
          </w:p>
          <w:p w14:paraId="25135F41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(n=612)</w:t>
            </w:r>
          </w:p>
        </w:tc>
        <w:tc>
          <w:tcPr>
            <w:tcW w:w="2252" w:type="dxa"/>
            <w:noWrap/>
            <w:hideMark/>
          </w:tcPr>
          <w:p w14:paraId="733A0AA4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33 (18.9%)</w:t>
            </w:r>
          </w:p>
          <w:p w14:paraId="14B7211A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(n=132)</w:t>
            </w:r>
          </w:p>
        </w:tc>
        <w:tc>
          <w:tcPr>
            <w:tcW w:w="2253" w:type="dxa"/>
            <w:noWrap/>
            <w:hideMark/>
          </w:tcPr>
          <w:p w14:paraId="507DAF19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72 (13.7%)</w:t>
            </w:r>
          </w:p>
          <w:p w14:paraId="00B324F5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(n=480)</w:t>
            </w:r>
          </w:p>
        </w:tc>
      </w:tr>
      <w:tr w:rsidR="00F4292C" w:rsidRPr="00851B6E" w14:paraId="13DB7965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shd w:val="clear" w:color="auto" w:fill="auto"/>
            <w:noWrap/>
            <w:hideMark/>
          </w:tcPr>
          <w:p w14:paraId="7B6ECD56" w14:textId="77777777" w:rsidR="00F4292C" w:rsidRPr="001768A5" w:rsidRDefault="00F4292C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FIB-4 </w:t>
            </w:r>
          </w:p>
        </w:tc>
        <w:tc>
          <w:tcPr>
            <w:tcW w:w="2253" w:type="dxa"/>
            <w:shd w:val="clear" w:color="auto" w:fill="auto"/>
            <w:noWrap/>
            <w:hideMark/>
          </w:tcPr>
          <w:p w14:paraId="64C85FE4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70 (10%)</w:t>
            </w:r>
          </w:p>
          <w:p w14:paraId="76138D35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(n=612)</w:t>
            </w:r>
          </w:p>
        </w:tc>
        <w:tc>
          <w:tcPr>
            <w:tcW w:w="2252" w:type="dxa"/>
            <w:shd w:val="clear" w:color="auto" w:fill="auto"/>
            <w:noWrap/>
            <w:hideMark/>
          </w:tcPr>
          <w:p w14:paraId="671D3339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36 (20.6%)</w:t>
            </w:r>
          </w:p>
          <w:p w14:paraId="6642ED0B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(n=132)</w:t>
            </w:r>
          </w:p>
        </w:tc>
        <w:tc>
          <w:tcPr>
            <w:tcW w:w="2253" w:type="dxa"/>
            <w:shd w:val="clear" w:color="auto" w:fill="auto"/>
            <w:noWrap/>
            <w:hideMark/>
          </w:tcPr>
          <w:p w14:paraId="308CA8F2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34 (6.5%)</w:t>
            </w:r>
          </w:p>
          <w:p w14:paraId="1F3A1F9C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(n=480)</w:t>
            </w:r>
          </w:p>
        </w:tc>
      </w:tr>
      <w:tr w:rsidR="00F4292C" w:rsidRPr="00851B6E" w14:paraId="6734942B" w14:textId="77777777" w:rsidTr="003638C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noWrap/>
            <w:hideMark/>
          </w:tcPr>
          <w:p w14:paraId="65CCC35F" w14:textId="77777777" w:rsidR="00F4292C" w:rsidRPr="001768A5" w:rsidRDefault="00F4292C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NFS </w:t>
            </w:r>
          </w:p>
        </w:tc>
        <w:tc>
          <w:tcPr>
            <w:tcW w:w="2253" w:type="dxa"/>
            <w:noWrap/>
            <w:hideMark/>
          </w:tcPr>
          <w:p w14:paraId="7B700FBD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5.3 (7.6%)</w:t>
            </w:r>
          </w:p>
          <w:p w14:paraId="1518CC02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(n=603)</w:t>
            </w:r>
          </w:p>
        </w:tc>
        <w:tc>
          <w:tcPr>
            <w:tcW w:w="2252" w:type="dxa"/>
            <w:noWrap/>
            <w:hideMark/>
          </w:tcPr>
          <w:p w14:paraId="7357366D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23 (13.1%)</w:t>
            </w:r>
          </w:p>
          <w:p w14:paraId="73CFDB4C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(n=131)</w:t>
            </w:r>
          </w:p>
        </w:tc>
        <w:tc>
          <w:tcPr>
            <w:tcW w:w="2253" w:type="dxa"/>
            <w:noWrap/>
            <w:hideMark/>
          </w:tcPr>
          <w:p w14:paraId="081CDB70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30 (5.7%)</w:t>
            </w:r>
          </w:p>
          <w:p w14:paraId="561B0FA8" w14:textId="77777777" w:rsidR="00F4292C" w:rsidRPr="001768A5" w:rsidRDefault="00F4292C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(n=472)</w:t>
            </w:r>
          </w:p>
        </w:tc>
      </w:tr>
      <w:tr w:rsidR="00F4292C" w:rsidRPr="00851B6E" w14:paraId="304C996F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noWrap/>
            <w:hideMark/>
          </w:tcPr>
          <w:p w14:paraId="6725244A" w14:textId="77777777" w:rsidR="00F4292C" w:rsidRPr="001768A5" w:rsidRDefault="00F4292C" w:rsidP="003638C9">
            <w:pPr>
              <w:pStyle w:val="EndNoteBibliography"/>
              <w:rPr>
                <w:rFonts w:ascii="Arial" w:hAnsi="Arial" w:cs="Arial"/>
                <w:b w:val="0"/>
                <w:bCs w:val="0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Biopsy proven </w:t>
            </w:r>
          </w:p>
          <w:p w14:paraId="16EE0F97" w14:textId="77777777" w:rsidR="00F4292C" w:rsidRPr="001768A5" w:rsidRDefault="00F4292C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advanced fibrosis </w:t>
            </w:r>
          </w:p>
        </w:tc>
        <w:tc>
          <w:tcPr>
            <w:tcW w:w="2253" w:type="dxa"/>
            <w:noWrap/>
            <w:hideMark/>
          </w:tcPr>
          <w:p w14:paraId="45D8CC20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132 (18.5%)</w:t>
            </w:r>
          </w:p>
          <w:p w14:paraId="291BD147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(n=700)</w:t>
            </w:r>
          </w:p>
        </w:tc>
        <w:tc>
          <w:tcPr>
            <w:tcW w:w="2252" w:type="dxa"/>
            <w:noWrap/>
            <w:hideMark/>
          </w:tcPr>
          <w:p w14:paraId="2B38489E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62 (35.4%)</w:t>
            </w:r>
          </w:p>
          <w:p w14:paraId="2946953D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(n=175)</w:t>
            </w:r>
          </w:p>
        </w:tc>
        <w:tc>
          <w:tcPr>
            <w:tcW w:w="2253" w:type="dxa"/>
            <w:noWrap/>
            <w:hideMark/>
          </w:tcPr>
          <w:p w14:paraId="13D815B6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70 (13.4%)</w:t>
            </w:r>
          </w:p>
          <w:p w14:paraId="63C5A4B5" w14:textId="77777777" w:rsidR="00F4292C" w:rsidRPr="001768A5" w:rsidRDefault="00F4292C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(n=525)</w:t>
            </w:r>
          </w:p>
        </w:tc>
      </w:tr>
    </w:tbl>
    <w:p w14:paraId="05A6FD76" w14:textId="77777777" w:rsidR="00F4292C" w:rsidRPr="001768A5" w:rsidRDefault="00F4292C" w:rsidP="00F4292C">
      <w:pPr>
        <w:spacing w:line="360" w:lineRule="auto"/>
        <w:rPr>
          <w:rFonts w:ascii="Arial" w:eastAsia="Calibri" w:hAnsi="Arial" w:cs="Arial"/>
          <w:b/>
          <w:bCs/>
        </w:rPr>
      </w:pPr>
    </w:p>
    <w:p w14:paraId="72564BF1" w14:textId="77777777" w:rsidR="00F4292C" w:rsidRDefault="00F4292C" w:rsidP="00F4292C">
      <w:pPr>
        <w:spacing w:line="360" w:lineRule="auto"/>
        <w:rPr>
          <w:rFonts w:ascii="Arial" w:eastAsia="Calibri" w:hAnsi="Arial" w:cs="Arial"/>
          <w:b/>
          <w:bCs/>
        </w:rPr>
      </w:pPr>
    </w:p>
    <w:p w14:paraId="2DBED61D" w14:textId="77777777" w:rsidR="00AC62FB" w:rsidRDefault="00AC62FB"/>
    <w:sectPr w:rsidR="00AC62F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altName w:val="Angsana New"/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92C"/>
    <w:rsid w:val="00AC62FB"/>
    <w:rsid w:val="00F42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4A4CD"/>
  <w15:chartTrackingRefBased/>
  <w15:docId w15:val="{4F8BF3FD-9528-4A6C-B1AB-E5E2D6882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92C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rsid w:val="00F4292C"/>
    <w:pPr>
      <w:spacing w:line="360" w:lineRule="auto"/>
    </w:pPr>
    <w:rPr>
      <w:rFonts w:ascii="Cordia New" w:hAnsi="Cordia New" w:cs="Cordia New"/>
      <w:sz w:val="32"/>
    </w:rPr>
  </w:style>
  <w:style w:type="table" w:styleId="PlainTable1">
    <w:name w:val="Plain Table 1"/>
    <w:basedOn w:val="TableNormal"/>
    <w:uiPriority w:val="41"/>
    <w:rsid w:val="00F4292C"/>
    <w:pPr>
      <w:spacing w:after="0" w:line="240" w:lineRule="auto"/>
    </w:pPr>
    <w:rPr>
      <w:rFonts w:eastAsiaTheme="minorEastAsia"/>
      <w:sz w:val="24"/>
      <w:szCs w:val="3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panyavee pitisuttithum</dc:creator>
  <cp:keywords/>
  <dc:description/>
  <cp:lastModifiedBy>panyavee pitisuttithum</cp:lastModifiedBy>
  <cp:revision>1</cp:revision>
  <dcterms:created xsi:type="dcterms:W3CDTF">2019-04-20T09:25:00Z</dcterms:created>
  <dcterms:modified xsi:type="dcterms:W3CDTF">2019-04-20T09:26:00Z</dcterms:modified>
</cp:coreProperties>
</file>