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auto"/>
        <w:ind w:left="120" w:hanging="120" w:hangingChars="50"/>
        <w:rPr>
          <w:rFonts w:hint="default" w:ascii="Times New Roman Bold" w:hAnsi="Times New Roman Bold" w:cs="Times New Roman Bold"/>
          <w:b/>
          <w:bCs/>
          <w:sz w:val="24"/>
        </w:rPr>
      </w:pPr>
      <w:r>
        <w:rPr>
          <w:rFonts w:ascii="Times New Roman" w:hAnsi="Times New Roman" w:cs="Times New Roman"/>
          <w:b/>
          <w:bCs/>
          <w:sz w:val="24"/>
        </w:rPr>
        <w:t xml:space="preserve">Table </w:t>
      </w:r>
      <w:r>
        <w:rPr>
          <w:rFonts w:hint="default" w:ascii="Times New Roman" w:hAnsi="Times New Roman" w:cs="Times New Roman"/>
          <w:b/>
          <w:bCs/>
          <w:sz w:val="24"/>
        </w:rPr>
        <w:t>S</w:t>
      </w:r>
      <w:r>
        <w:rPr>
          <w:rFonts w:ascii="Times New Roman" w:hAnsi="Times New Roman" w:cs="Times New Roman"/>
          <w:b/>
          <w:bCs/>
          <w:sz w:val="24"/>
        </w:rPr>
        <w:t xml:space="preserve">1 </w:t>
      </w:r>
      <w:r>
        <w:rPr>
          <w:rFonts w:hint="default" w:ascii="Times New Roman Bold" w:hAnsi="Times New Roman Bold" w:cs="Times New Roman Bold"/>
          <w:b/>
          <w:bCs/>
          <w:sz w:val="24"/>
        </w:rPr>
        <w:t>Evidenced-based support for the relationship between the 25 candidate mediators and atrial fibrillation</w:t>
      </w:r>
    </w:p>
    <w:tbl>
      <w:tblPr>
        <w:tblStyle w:val="5"/>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30"/>
        <w:gridCol w:w="54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830" w:type="dxa"/>
          </w:tcPr>
          <w:p>
            <w:pPr>
              <w:keepNext w:val="0"/>
              <w:keepLines w:val="0"/>
              <w:suppressLineNumbers w:val="0"/>
              <w:spacing w:before="0" w:beforeAutospacing="0" w:after="200" w:afterAutospacing="0" w:line="480" w:lineRule="auto"/>
              <w:ind w:left="0" w:right="0"/>
              <w:rPr>
                <w:rFonts w:hint="eastAsia" w:ascii="Times New Roman" w:hAnsi="Times New Roman" w:cs="Times New Roman"/>
                <w:b/>
                <w:bCs/>
                <w:sz w:val="24"/>
              </w:rPr>
            </w:pPr>
            <w:r>
              <w:rPr>
                <w:rFonts w:hint="eastAsia" w:ascii="Times New Roman" w:hAnsi="Times New Roman" w:cs="Times New Roman"/>
                <w:b/>
                <w:bCs/>
                <w:sz w:val="24"/>
              </w:rPr>
              <w:t>Candidate Mediators</w:t>
            </w:r>
          </w:p>
        </w:tc>
        <w:tc>
          <w:tcPr>
            <w:tcW w:w="5466" w:type="dxa"/>
          </w:tcPr>
          <w:p>
            <w:pPr>
              <w:keepNext w:val="0"/>
              <w:keepLines w:val="0"/>
              <w:suppressLineNumbers w:val="0"/>
              <w:spacing w:before="0" w:beforeAutospacing="0" w:after="200" w:afterAutospacing="0" w:line="480" w:lineRule="auto"/>
              <w:ind w:left="0" w:right="0"/>
              <w:rPr>
                <w:rFonts w:hint="eastAsia" w:ascii="Times New Roman" w:hAnsi="Times New Roman" w:cs="Times New Roman"/>
                <w:b/>
                <w:bCs/>
                <w:sz w:val="24"/>
              </w:rPr>
            </w:pPr>
            <w:r>
              <w:rPr>
                <w:rFonts w:hint="eastAsia" w:ascii="Times New Roman" w:hAnsi="Times New Roman" w:cs="Times New Roman"/>
                <w:b/>
                <w:bCs/>
                <w:sz w:val="24"/>
              </w:rPr>
              <w:t>Epidemiological evidence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96" w:type="dxa"/>
            <w:gridSpan w:val="2"/>
          </w:tcPr>
          <w:p>
            <w:pPr>
              <w:keepNext w:val="0"/>
              <w:keepLines w:val="0"/>
              <w:suppressLineNumbers w:val="0"/>
              <w:spacing w:before="0" w:beforeAutospacing="0" w:after="200" w:afterAutospacing="0" w:line="480" w:lineRule="auto"/>
              <w:ind w:left="0" w:right="0"/>
              <w:rPr>
                <w:rFonts w:hint="eastAsia" w:ascii="Times New Roman" w:hAnsi="Times New Roman" w:cs="Times New Roman"/>
                <w:b/>
                <w:bCs/>
                <w:sz w:val="24"/>
              </w:rPr>
            </w:pPr>
            <w:r>
              <w:rPr>
                <w:rFonts w:hint="eastAsia" w:ascii="Times New Roman" w:hAnsi="Times New Roman" w:cs="Times New Roman"/>
                <w:b/>
                <w:bCs/>
                <w:sz w:val="24"/>
              </w:rPr>
              <w:t>Inflammatory Biomarkers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830" w:type="dxa"/>
            <w:vAlign w:val="center"/>
          </w:tcPr>
          <w:p>
            <w:pPr>
              <w:keepNext w:val="0"/>
              <w:keepLines w:val="0"/>
              <w:suppressLineNumbers w:val="0"/>
              <w:spacing w:before="0" w:beforeAutospacing="0" w:after="200" w:afterAutospacing="0" w:line="480" w:lineRule="auto"/>
              <w:ind w:left="0" w:right="0"/>
              <w:jc w:val="center"/>
              <w:rPr>
                <w:rFonts w:hint="eastAsia" w:ascii="Times New Roman" w:hAnsi="Times New Roman" w:cs="Times New Roman"/>
                <w:sz w:val="24"/>
              </w:rPr>
            </w:pPr>
            <w:r>
              <w:rPr>
                <w:rFonts w:hint="eastAsia" w:ascii="Times New Roman" w:hAnsi="Times New Roman" w:cs="Times New Roman"/>
                <w:sz w:val="24"/>
              </w:rPr>
              <w:t>CRP</w:t>
            </w:r>
          </w:p>
        </w:tc>
        <w:tc>
          <w:tcPr>
            <w:tcW w:w="5466" w:type="dxa"/>
          </w:tcPr>
          <w:p>
            <w:pPr>
              <w:keepNext w:val="0"/>
              <w:keepLines w:val="0"/>
              <w:suppressLineNumbers w:val="0"/>
              <w:spacing w:before="0" w:beforeAutospacing="0" w:after="200" w:afterAutospacing="0" w:line="480" w:lineRule="auto"/>
              <w:ind w:left="0" w:right="0"/>
              <w:rPr>
                <w:rFonts w:hint="eastAsia" w:ascii="Times New Roman" w:hAnsi="Times New Roman" w:cs="Times New Roman"/>
                <w:sz w:val="24"/>
              </w:rPr>
            </w:pPr>
            <w:r>
              <w:rPr>
                <w:rFonts w:hint="eastAsia" w:ascii="Times New Roman" w:hAnsi="Times New Roman" w:cs="Times New Roman"/>
                <w:sz w:val="24"/>
              </w:rPr>
              <w:t xml:space="preserve">A prospective study with follow-up for a mean of 6.9 +/- 1.6 (median 7.8) years indicated that baseline CRP (fourth versus first quartile) predicted a higher risk for developing future AF with an adjusted HR of 1.31(95% CI: 1.08, 1.58; P = 0.005). The HR of an elevated CRP for each 1-SD increase in developing future AF was 1.24 (95% CI: 1.11, 1.40; P &lt; 0.001) </w:t>
            </w:r>
            <w:r>
              <w:rPr>
                <w:rFonts w:hint="eastAsia" w:ascii="Times New Roman" w:hAnsi="Times New Roman" w:cs="Times New Roman"/>
                <w:sz w:val="24"/>
                <w:vertAlign w:val="superscript"/>
              </w:rPr>
              <w:t>[</w:t>
            </w:r>
            <w:r>
              <w:rPr>
                <w:rFonts w:hint="default" w:ascii="Times New Roman" w:hAnsi="Times New Roman" w:cs="Times New Roman"/>
                <w:sz w:val="24"/>
                <w:vertAlign w:val="superscript"/>
                <w:lang w:val="en-US"/>
              </w:rPr>
              <w:t>2</w:t>
            </w:r>
            <w:r>
              <w:rPr>
                <w:rFonts w:hint="eastAsia" w:ascii="Times New Roman" w:hAnsi="Times New Roman" w:cs="Times New Roman"/>
                <w:sz w:val="24"/>
                <w:vertAlign w:val="superscript"/>
              </w:rPr>
              <w:t>1]</w:t>
            </w:r>
            <w:r>
              <w:rPr>
                <w:rFonts w:hint="eastAsia" w:ascii="Times New Roman" w:hAnsi="Times New Roman" w:cs="Times New Roman"/>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830" w:type="dxa"/>
            <w:vAlign w:val="center"/>
          </w:tcPr>
          <w:p>
            <w:pPr>
              <w:keepNext w:val="0"/>
              <w:keepLines w:val="0"/>
              <w:suppressLineNumbers w:val="0"/>
              <w:spacing w:before="0" w:beforeAutospacing="0" w:after="200" w:afterAutospacing="0" w:line="480" w:lineRule="auto"/>
              <w:ind w:left="0" w:right="0"/>
              <w:jc w:val="center"/>
              <w:rPr>
                <w:rFonts w:hint="eastAsia" w:ascii="Times New Roman" w:hAnsi="Times New Roman" w:cs="Times New Roman"/>
                <w:sz w:val="24"/>
              </w:rPr>
            </w:pPr>
            <w:r>
              <w:rPr>
                <w:rFonts w:hint="eastAsia" w:ascii="Times New Roman" w:hAnsi="Times New Roman" w:cs="Times New Roman"/>
                <w:sz w:val="24"/>
              </w:rPr>
              <w:t>WBC</w:t>
            </w:r>
          </w:p>
        </w:tc>
        <w:tc>
          <w:tcPr>
            <w:tcW w:w="5466" w:type="dxa"/>
          </w:tcPr>
          <w:p>
            <w:pPr>
              <w:keepNext w:val="0"/>
              <w:keepLines w:val="0"/>
              <w:suppressLineNumbers w:val="0"/>
              <w:spacing w:before="0" w:beforeAutospacing="0" w:after="200" w:afterAutospacing="0" w:line="480" w:lineRule="auto"/>
              <w:ind w:left="0" w:right="0"/>
              <w:rPr>
                <w:rFonts w:hint="eastAsia" w:ascii="Times New Roman" w:hAnsi="Times New Roman" w:cs="Times New Roman"/>
                <w:sz w:val="24"/>
              </w:rPr>
            </w:pPr>
            <w:r>
              <w:rPr>
                <w:rFonts w:hint="eastAsia" w:ascii="Times New Roman" w:hAnsi="Times New Roman" w:cs="Times New Roman"/>
                <w:sz w:val="24"/>
              </w:rPr>
              <w:t>A meta-analysis including 12 studies with 18,293 patients claimed that leucocyte telomere shortening was regarded as an independent predictor of recurrent AF (OR:4.32; 95% CI (2.42,7.69); P &lt; 0.00001).</w:t>
            </w:r>
            <w:r>
              <w:rPr>
                <w:rFonts w:hint="eastAsia"/>
              </w:rPr>
              <w:t xml:space="preserve"> </w:t>
            </w:r>
            <w:r>
              <w:rPr>
                <w:rFonts w:hint="eastAsia" w:ascii="Times New Roman" w:hAnsi="Times New Roman" w:cs="Times New Roman"/>
                <w:sz w:val="24"/>
              </w:rPr>
              <w:t xml:space="preserve">Restoring LTL may provide a new treatment of AF in the future studies </w:t>
            </w:r>
            <w:r>
              <w:rPr>
                <w:rFonts w:hint="eastAsia" w:ascii="Times New Roman" w:hAnsi="Times New Roman" w:cs="Times New Roman"/>
                <w:sz w:val="24"/>
                <w:vertAlign w:val="superscript"/>
              </w:rPr>
              <w:t>[2</w:t>
            </w:r>
            <w:r>
              <w:rPr>
                <w:rFonts w:hint="default" w:ascii="Times New Roman" w:hAnsi="Times New Roman" w:cs="Times New Roman"/>
                <w:sz w:val="24"/>
                <w:vertAlign w:val="superscript"/>
                <w:lang w:val="en-US"/>
              </w:rPr>
              <w:t>2</w:t>
            </w:r>
            <w:r>
              <w:rPr>
                <w:rFonts w:hint="eastAsia" w:ascii="Times New Roman" w:hAnsi="Times New Roman" w:cs="Times New Roman"/>
                <w:sz w:val="24"/>
                <w:vertAlign w:val="superscript"/>
              </w:rPr>
              <w:t>]</w:t>
            </w:r>
            <w:r>
              <w:rPr>
                <w:rFonts w:hint="eastAsia" w:ascii="Times New Roman" w:hAnsi="Times New Roman" w:cs="Times New Roman"/>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830" w:type="dxa"/>
            <w:vAlign w:val="center"/>
          </w:tcPr>
          <w:p>
            <w:pPr>
              <w:keepNext w:val="0"/>
              <w:keepLines w:val="0"/>
              <w:suppressLineNumbers w:val="0"/>
              <w:spacing w:before="0" w:beforeAutospacing="0" w:after="200" w:afterAutospacing="0" w:line="480" w:lineRule="auto"/>
              <w:ind w:left="0" w:right="0"/>
              <w:jc w:val="center"/>
              <w:rPr>
                <w:rFonts w:hint="eastAsia" w:ascii="Times New Roman" w:hAnsi="Times New Roman" w:cs="Times New Roman"/>
                <w:sz w:val="24"/>
              </w:rPr>
            </w:pPr>
            <w:r>
              <w:rPr>
                <w:rFonts w:hint="eastAsia" w:ascii="Times New Roman" w:hAnsi="Times New Roman" w:cs="Times New Roman"/>
                <w:sz w:val="24"/>
              </w:rPr>
              <w:t>IL-1ß</w:t>
            </w:r>
          </w:p>
        </w:tc>
        <w:tc>
          <w:tcPr>
            <w:tcW w:w="5466" w:type="dxa"/>
            <w:vMerge w:val="restart"/>
          </w:tcPr>
          <w:p>
            <w:pPr>
              <w:keepNext w:val="0"/>
              <w:keepLines w:val="0"/>
              <w:suppressLineNumbers w:val="0"/>
              <w:spacing w:before="0" w:beforeAutospacing="0" w:after="200" w:afterAutospacing="0" w:line="480" w:lineRule="auto"/>
              <w:ind w:left="0" w:right="0"/>
              <w:rPr>
                <w:rFonts w:hint="eastAsia" w:ascii="Times New Roman" w:hAnsi="Times New Roman" w:cs="Times New Roman"/>
                <w:sz w:val="24"/>
              </w:rPr>
            </w:pPr>
            <w:r>
              <w:rPr>
                <w:rFonts w:hint="eastAsia" w:ascii="Times New Roman" w:hAnsi="Times New Roman" w:cs="Times New Roman"/>
                <w:sz w:val="24"/>
              </w:rPr>
              <w:t xml:space="preserve">Local inflammation acts an important role in persistent/ paroxysmal AF. The mRNA level of IL-1ß obtained from patients in CABG surgery was associated with persistent AF than the control group ((4.94 +/- 1.69 vs. 2.93 +/- 0.91, P &lt; 0.01) </w:t>
            </w:r>
            <w:r>
              <w:rPr>
                <w:rFonts w:hint="eastAsia" w:ascii="Times New Roman" w:hAnsi="Times New Roman" w:cs="Times New Roman"/>
                <w:sz w:val="24"/>
                <w:vertAlign w:val="superscript"/>
              </w:rPr>
              <w:t>[</w:t>
            </w:r>
            <w:r>
              <w:rPr>
                <w:rFonts w:hint="default" w:ascii="Times New Roman" w:hAnsi="Times New Roman" w:cs="Times New Roman"/>
                <w:sz w:val="24"/>
                <w:vertAlign w:val="superscript"/>
                <w:lang w:val="en-US"/>
              </w:rPr>
              <w:t>2</w:t>
            </w:r>
            <w:r>
              <w:rPr>
                <w:rFonts w:hint="eastAsia" w:ascii="Times New Roman" w:hAnsi="Times New Roman" w:cs="Times New Roman"/>
                <w:sz w:val="24"/>
                <w:vertAlign w:val="superscript"/>
              </w:rPr>
              <w:t>3]</w:t>
            </w:r>
            <w:r>
              <w:rPr>
                <w:rFonts w:hint="eastAsia" w:ascii="Times New Roman" w:hAnsi="Times New Roman" w:cs="Times New Roman"/>
                <w:sz w:val="24"/>
              </w:rPr>
              <w:t xml:space="preserve">. IL-6 can be used for assessing systematic inflammatory activity and correlates to mortality in AF, hazard ratios per 50% higher IL-6 at 2 months was 1.32 (95% CI:1.23, 1.41; P &lt; .0001) in the ARISTOTLE trial </w:t>
            </w:r>
            <w:r>
              <w:rPr>
                <w:rFonts w:hint="eastAsia" w:ascii="Times New Roman" w:hAnsi="Times New Roman" w:cs="Times New Roman"/>
                <w:sz w:val="24"/>
                <w:vertAlign w:val="superscript"/>
              </w:rPr>
              <w:t>[</w:t>
            </w:r>
            <w:r>
              <w:rPr>
                <w:rFonts w:hint="default" w:ascii="Times New Roman" w:hAnsi="Times New Roman" w:cs="Times New Roman"/>
                <w:sz w:val="24"/>
                <w:vertAlign w:val="superscript"/>
                <w:lang w:val="en-US"/>
              </w:rPr>
              <w:t>2</w:t>
            </w:r>
            <w:r>
              <w:rPr>
                <w:rFonts w:hint="eastAsia" w:ascii="Times New Roman" w:hAnsi="Times New Roman" w:cs="Times New Roman"/>
                <w:sz w:val="24"/>
                <w:vertAlign w:val="superscript"/>
              </w:rPr>
              <w:t>4]</w:t>
            </w:r>
            <w:r>
              <w:rPr>
                <w:rFonts w:hint="eastAsia" w:ascii="Times New Roman" w:hAnsi="Times New Roman" w:cs="Times New Roman"/>
                <w:sz w:val="24"/>
              </w:rPr>
              <w:t>.</w:t>
            </w:r>
            <w:r>
              <w:rPr>
                <w:rFonts w:hint="eastAsia"/>
              </w:rPr>
              <w:t xml:space="preserve"> </w:t>
            </w:r>
            <w:r>
              <w:rPr>
                <w:rFonts w:hint="eastAsia" w:ascii="Times New Roman" w:hAnsi="Times New Roman" w:cs="Times New Roman"/>
                <w:sz w:val="24"/>
              </w:rPr>
              <w:t xml:space="preserve">IL-17 is used to evaluate the probability of developing AF by regulating inflammation and fibrosis, and a study in China has proved that the correlation coefficient was 0.95(P&lt;0.05) </w:t>
            </w:r>
            <w:r>
              <w:rPr>
                <w:rFonts w:hint="eastAsia" w:ascii="Times New Roman" w:hAnsi="Times New Roman" w:cs="Times New Roman"/>
                <w:sz w:val="24"/>
                <w:vertAlign w:val="superscript"/>
              </w:rPr>
              <w:t>[</w:t>
            </w:r>
            <w:r>
              <w:rPr>
                <w:rFonts w:hint="default" w:ascii="Times New Roman" w:hAnsi="Times New Roman" w:cs="Times New Roman"/>
                <w:sz w:val="24"/>
                <w:vertAlign w:val="superscript"/>
                <w:lang w:val="en-US"/>
              </w:rPr>
              <w:t>2</w:t>
            </w:r>
            <w:r>
              <w:rPr>
                <w:rFonts w:hint="eastAsia" w:ascii="Times New Roman" w:hAnsi="Times New Roman" w:cs="Times New Roman"/>
                <w:sz w:val="24"/>
                <w:vertAlign w:val="superscript"/>
              </w:rPr>
              <w:t>5]</w:t>
            </w:r>
            <w:r>
              <w:rPr>
                <w:rFonts w:hint="eastAsia" w:ascii="Times New Roman" w:hAnsi="Times New Roman" w:cs="Times New Roman"/>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830" w:type="dxa"/>
            <w:vAlign w:val="center"/>
          </w:tcPr>
          <w:p>
            <w:pPr>
              <w:keepNext w:val="0"/>
              <w:keepLines w:val="0"/>
              <w:suppressLineNumbers w:val="0"/>
              <w:spacing w:before="0" w:beforeAutospacing="0" w:after="200" w:afterAutospacing="0" w:line="480" w:lineRule="auto"/>
              <w:ind w:left="0" w:right="0"/>
              <w:jc w:val="center"/>
              <w:rPr>
                <w:rFonts w:hint="eastAsia" w:ascii="Times New Roman" w:hAnsi="Times New Roman" w:cs="Times New Roman"/>
                <w:sz w:val="24"/>
              </w:rPr>
            </w:pPr>
            <w:r>
              <w:rPr>
                <w:rFonts w:hint="eastAsia" w:ascii="Times New Roman" w:hAnsi="Times New Roman" w:cs="Times New Roman"/>
                <w:sz w:val="24"/>
              </w:rPr>
              <w:t>IL-6</w:t>
            </w:r>
          </w:p>
        </w:tc>
        <w:tc>
          <w:tcPr>
            <w:tcW w:w="5466" w:type="dxa"/>
            <w:vMerge w:val="continue"/>
          </w:tcPr>
          <w:p>
            <w:pPr>
              <w:keepNext w:val="0"/>
              <w:keepLines w:val="0"/>
              <w:suppressLineNumbers w:val="0"/>
              <w:spacing w:before="0" w:beforeAutospacing="0" w:after="200" w:afterAutospacing="0" w:line="480" w:lineRule="auto"/>
              <w:ind w:left="0" w:right="0"/>
              <w:rPr>
                <w:rFonts w:hint="eastAsia"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68" w:hRule="atLeast"/>
        </w:trPr>
        <w:tc>
          <w:tcPr>
            <w:tcW w:w="2830" w:type="dxa"/>
            <w:vAlign w:val="center"/>
          </w:tcPr>
          <w:p>
            <w:pPr>
              <w:keepNext w:val="0"/>
              <w:keepLines w:val="0"/>
              <w:suppressLineNumbers w:val="0"/>
              <w:spacing w:before="0" w:beforeAutospacing="0" w:after="200" w:afterAutospacing="0" w:line="480" w:lineRule="auto"/>
              <w:ind w:left="0" w:right="0"/>
              <w:jc w:val="center"/>
              <w:rPr>
                <w:rFonts w:hint="eastAsia" w:ascii="Times New Roman" w:hAnsi="Times New Roman" w:cs="Times New Roman"/>
                <w:sz w:val="24"/>
              </w:rPr>
            </w:pPr>
            <w:r>
              <w:rPr>
                <w:rFonts w:hint="eastAsia" w:ascii="Times New Roman" w:hAnsi="Times New Roman" w:cs="Times New Roman"/>
                <w:sz w:val="24"/>
              </w:rPr>
              <w:t>IL-17</w:t>
            </w:r>
          </w:p>
        </w:tc>
        <w:tc>
          <w:tcPr>
            <w:tcW w:w="5466" w:type="dxa"/>
            <w:vMerge w:val="continue"/>
          </w:tcPr>
          <w:p>
            <w:pPr>
              <w:keepNext w:val="0"/>
              <w:keepLines w:val="0"/>
              <w:suppressLineNumbers w:val="0"/>
              <w:spacing w:before="0" w:beforeAutospacing="0" w:after="200" w:afterAutospacing="0" w:line="480" w:lineRule="auto"/>
              <w:ind w:left="0" w:right="0"/>
              <w:rPr>
                <w:rFonts w:hint="eastAsia"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830" w:type="dxa"/>
            <w:vAlign w:val="center"/>
          </w:tcPr>
          <w:p>
            <w:pPr>
              <w:keepNext w:val="0"/>
              <w:keepLines w:val="0"/>
              <w:suppressLineNumbers w:val="0"/>
              <w:spacing w:before="0" w:beforeAutospacing="0" w:after="200" w:afterAutospacing="0" w:line="480" w:lineRule="auto"/>
              <w:ind w:left="0" w:right="0"/>
              <w:jc w:val="center"/>
              <w:rPr>
                <w:rFonts w:hint="eastAsia" w:ascii="Times New Roman" w:hAnsi="Times New Roman" w:cs="Times New Roman"/>
                <w:sz w:val="24"/>
              </w:rPr>
            </w:pPr>
            <w:r>
              <w:rPr>
                <w:rFonts w:hint="eastAsia" w:ascii="Times New Roman" w:hAnsi="Times New Roman" w:cs="Times New Roman"/>
                <w:sz w:val="24"/>
              </w:rPr>
              <w:t>IL-18</w:t>
            </w:r>
          </w:p>
        </w:tc>
        <w:tc>
          <w:tcPr>
            <w:tcW w:w="5466" w:type="dxa"/>
          </w:tcPr>
          <w:p>
            <w:pPr>
              <w:keepNext w:val="0"/>
              <w:keepLines w:val="0"/>
              <w:suppressLineNumbers w:val="0"/>
              <w:spacing w:before="0" w:beforeAutospacing="0" w:after="200" w:afterAutospacing="0" w:line="480" w:lineRule="auto"/>
              <w:ind w:left="0" w:right="0"/>
              <w:rPr>
                <w:rFonts w:hint="eastAsia" w:ascii="Times New Roman" w:hAnsi="Times New Roman" w:cs="Times New Roman"/>
                <w:sz w:val="24"/>
              </w:rPr>
            </w:pPr>
            <w:r>
              <w:rPr>
                <w:rFonts w:hint="eastAsia" w:ascii="Times New Roman" w:hAnsi="Times New Roman" w:cs="Times New Roman"/>
                <w:sz w:val="24"/>
              </w:rPr>
              <w:t xml:space="preserve">A prospective study (56 AF patients/26controls) showed that AF patient had higher levels of IL-18 than the control group ((471.50 +/- 144.91 vs. 232.20 +/- 55.33 pg/mL; P= 0.0001)). IL-18 was significantly association with AF (P &lt; 0.0001, STB = 0.65) </w:t>
            </w:r>
            <w:r>
              <w:rPr>
                <w:rFonts w:hint="eastAsia" w:ascii="Times New Roman" w:hAnsi="Times New Roman" w:cs="Times New Roman"/>
                <w:sz w:val="24"/>
                <w:vertAlign w:val="superscript"/>
              </w:rPr>
              <w:t>[</w:t>
            </w:r>
            <w:r>
              <w:rPr>
                <w:rFonts w:hint="default" w:ascii="Times New Roman" w:hAnsi="Times New Roman" w:cs="Times New Roman"/>
                <w:sz w:val="24"/>
                <w:vertAlign w:val="superscript"/>
                <w:lang w:val="en-US"/>
              </w:rPr>
              <w:t>26</w:t>
            </w:r>
            <w:r>
              <w:rPr>
                <w:rFonts w:hint="eastAsia" w:ascii="Times New Roman" w:hAnsi="Times New Roman" w:cs="Times New Roman"/>
                <w:sz w:val="24"/>
                <w:vertAlign w:val="superscript"/>
              </w:rPr>
              <w:t>]</w:t>
            </w:r>
            <w:r>
              <w:rPr>
                <w:rFonts w:hint="eastAsia" w:ascii="Times New Roman" w:hAnsi="Times New Roman" w:cs="Times New Roman"/>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830" w:type="dxa"/>
            <w:vAlign w:val="center"/>
          </w:tcPr>
          <w:p>
            <w:pPr>
              <w:keepNext w:val="0"/>
              <w:keepLines w:val="0"/>
              <w:suppressLineNumbers w:val="0"/>
              <w:spacing w:before="0" w:beforeAutospacing="0" w:after="200" w:afterAutospacing="0" w:line="480" w:lineRule="auto"/>
              <w:ind w:left="0" w:right="0"/>
              <w:jc w:val="center"/>
              <w:rPr>
                <w:rFonts w:hint="eastAsia" w:ascii="Times New Roman" w:hAnsi="Times New Roman" w:cs="Times New Roman"/>
                <w:sz w:val="24"/>
              </w:rPr>
            </w:pPr>
            <w:r>
              <w:rPr>
                <w:rFonts w:hint="eastAsia" w:ascii="Times New Roman" w:hAnsi="Times New Roman" w:cs="Times New Roman"/>
                <w:sz w:val="24"/>
              </w:rPr>
              <w:t>VEGF</w:t>
            </w:r>
          </w:p>
        </w:tc>
        <w:tc>
          <w:tcPr>
            <w:tcW w:w="5466" w:type="dxa"/>
          </w:tcPr>
          <w:p>
            <w:pPr>
              <w:keepNext w:val="0"/>
              <w:keepLines w:val="0"/>
              <w:suppressLineNumbers w:val="0"/>
              <w:spacing w:before="0" w:beforeAutospacing="0" w:after="200" w:afterAutospacing="0" w:line="480" w:lineRule="auto"/>
              <w:ind w:left="0" w:right="0"/>
              <w:rPr>
                <w:rFonts w:hint="eastAsia" w:ascii="Times New Roman" w:hAnsi="Times New Roman" w:cs="Times New Roman"/>
                <w:sz w:val="24"/>
              </w:rPr>
            </w:pPr>
            <w:r>
              <w:rPr>
                <w:rFonts w:hint="eastAsia" w:ascii="Times New Roman" w:hAnsi="Times New Roman" w:cs="Times New Roman"/>
                <w:sz w:val="24"/>
              </w:rPr>
              <w:t xml:space="preserve">VEGF from a whole cohort (59 AF and 40 without AF) was strongly related to the expression of adhesion molecules sCD40L (r=0.919; p&lt;0.001), as a predictive marker for AF (p = 0.023) </w:t>
            </w:r>
            <w:r>
              <w:rPr>
                <w:rFonts w:hint="eastAsia" w:ascii="Times New Roman" w:hAnsi="Times New Roman" w:cs="Times New Roman"/>
                <w:sz w:val="24"/>
                <w:vertAlign w:val="superscript"/>
              </w:rPr>
              <w:t>[</w:t>
            </w:r>
            <w:r>
              <w:rPr>
                <w:rFonts w:hint="default" w:ascii="Times New Roman" w:hAnsi="Times New Roman" w:cs="Times New Roman"/>
                <w:sz w:val="24"/>
                <w:vertAlign w:val="superscript"/>
                <w:lang w:val="en-US"/>
              </w:rPr>
              <w:t>2</w:t>
            </w:r>
            <w:r>
              <w:rPr>
                <w:rFonts w:hint="eastAsia" w:ascii="Times New Roman" w:hAnsi="Times New Roman" w:cs="Times New Roman"/>
                <w:sz w:val="24"/>
                <w:vertAlign w:val="superscript"/>
              </w:rPr>
              <w:t>7]</w:t>
            </w:r>
            <w:r>
              <w:rPr>
                <w:rFonts w:hint="eastAsia" w:ascii="Times New Roman" w:hAnsi="Times New Roman" w:cs="Times New Roman"/>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830" w:type="dxa"/>
            <w:vAlign w:val="center"/>
          </w:tcPr>
          <w:p>
            <w:pPr>
              <w:keepNext w:val="0"/>
              <w:keepLines w:val="0"/>
              <w:suppressLineNumbers w:val="0"/>
              <w:spacing w:before="0" w:beforeAutospacing="0" w:after="200" w:afterAutospacing="0" w:line="480" w:lineRule="auto"/>
              <w:ind w:left="0" w:right="0"/>
              <w:jc w:val="center"/>
              <w:rPr>
                <w:rFonts w:hint="eastAsia" w:ascii="Times New Roman" w:hAnsi="Times New Roman" w:cs="Times New Roman"/>
                <w:sz w:val="24"/>
              </w:rPr>
            </w:pPr>
            <w:r>
              <w:rPr>
                <w:rFonts w:hint="eastAsia" w:ascii="Times New Roman" w:hAnsi="Times New Roman" w:cs="Times New Roman"/>
                <w:sz w:val="24"/>
              </w:rPr>
              <w:t>TNF</w:t>
            </w:r>
          </w:p>
        </w:tc>
        <w:tc>
          <w:tcPr>
            <w:tcW w:w="5466" w:type="dxa"/>
          </w:tcPr>
          <w:p>
            <w:pPr>
              <w:keepNext w:val="0"/>
              <w:keepLines w:val="0"/>
              <w:suppressLineNumbers w:val="0"/>
              <w:spacing w:before="0" w:beforeAutospacing="0" w:after="200" w:afterAutospacing="0" w:line="480" w:lineRule="auto"/>
              <w:ind w:left="0" w:right="0"/>
              <w:rPr>
                <w:rFonts w:hint="eastAsia" w:ascii="Times New Roman" w:hAnsi="Times New Roman" w:cs="Times New Roman"/>
                <w:sz w:val="24"/>
              </w:rPr>
            </w:pPr>
            <w:r>
              <w:rPr>
                <w:rFonts w:hint="eastAsia" w:ascii="Times New Roman" w:hAnsi="Times New Roman" w:cs="Times New Roman"/>
                <w:sz w:val="24"/>
              </w:rPr>
              <w:t xml:space="preserve">A clinical study included 67 patients that were scheduled to have heart surgery (31 AF group/36 controls). AF patients apparently had higher levels of TNF-α ((14.40±5.45) pg/ml vs. (4.20±3.19) pg/ml vs. (2.68±2.20) pg/ml, p=0.000)) than the controls </w:t>
            </w:r>
            <w:r>
              <w:rPr>
                <w:rFonts w:hint="eastAsia" w:ascii="Times New Roman" w:hAnsi="Times New Roman" w:cs="Times New Roman"/>
                <w:sz w:val="24"/>
                <w:vertAlign w:val="superscript"/>
              </w:rPr>
              <w:t>[</w:t>
            </w:r>
            <w:r>
              <w:rPr>
                <w:rFonts w:hint="default" w:ascii="Times New Roman" w:hAnsi="Times New Roman" w:cs="Times New Roman"/>
                <w:sz w:val="24"/>
                <w:vertAlign w:val="superscript"/>
                <w:lang w:val="en-US"/>
              </w:rPr>
              <w:t>2</w:t>
            </w:r>
            <w:r>
              <w:rPr>
                <w:rFonts w:hint="eastAsia" w:ascii="Times New Roman" w:hAnsi="Times New Roman" w:cs="Times New Roman"/>
                <w:sz w:val="24"/>
                <w:vertAlign w:val="superscript"/>
              </w:rPr>
              <w:t>8]</w:t>
            </w:r>
            <w:r>
              <w:rPr>
                <w:rFonts w:hint="eastAsia" w:ascii="Times New Roman" w:hAnsi="Times New Roman" w:cs="Times New Roman"/>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830" w:type="dxa"/>
            <w:vAlign w:val="center"/>
          </w:tcPr>
          <w:p>
            <w:pPr>
              <w:keepNext w:val="0"/>
              <w:keepLines w:val="0"/>
              <w:suppressLineNumbers w:val="0"/>
              <w:spacing w:before="0" w:beforeAutospacing="0" w:after="200" w:afterAutospacing="0" w:line="480" w:lineRule="auto"/>
              <w:ind w:left="0" w:right="0"/>
              <w:jc w:val="center"/>
              <w:rPr>
                <w:rFonts w:hint="eastAsia" w:ascii="Times New Roman" w:hAnsi="Times New Roman" w:cs="Times New Roman"/>
                <w:sz w:val="24"/>
              </w:rPr>
            </w:pPr>
            <w:r>
              <w:rPr>
                <w:rFonts w:hint="eastAsia" w:ascii="Times New Roman" w:hAnsi="Times New Roman" w:cs="Times New Roman"/>
                <w:b/>
                <w:bCs/>
                <w:sz w:val="24"/>
              </w:rPr>
              <w:t>Weight</w:t>
            </w:r>
          </w:p>
        </w:tc>
        <w:tc>
          <w:tcPr>
            <w:tcW w:w="5466" w:type="dxa"/>
          </w:tcPr>
          <w:p>
            <w:pPr>
              <w:keepNext w:val="0"/>
              <w:keepLines w:val="0"/>
              <w:suppressLineNumbers w:val="0"/>
              <w:spacing w:before="0" w:beforeAutospacing="0" w:after="200" w:afterAutospacing="0" w:line="480" w:lineRule="auto"/>
              <w:ind w:left="0" w:right="0"/>
              <w:rPr>
                <w:rFonts w:hint="eastAsia" w:ascii="Times New Roman" w:hAnsi="Times New Roman" w:cs="Times New Roman"/>
                <w:sz w:val="24"/>
              </w:rPr>
            </w:pPr>
            <w:r>
              <w:rPr>
                <w:rFonts w:hint="eastAsia" w:ascii="Times New Roman" w:hAnsi="Times New Roman" w:cs="Times New Roman"/>
                <w:sz w:val="24"/>
              </w:rPr>
              <w:t xml:space="preserve">A meta-analysis concluded that in the population-based cohort studies, obese individuals have an associated 49% increased risk of developing AF compared to nonobese individuals (RR 1.49, 95% CI 1.36-1.64); the overweight cohort had a 39% increased risk of developing AF (95% CI, 1.05-1.83) whereas the obese cohort had an 87% increased risk of developing AF (95% CI, 1.43-2.44) </w:t>
            </w:r>
            <w:r>
              <w:rPr>
                <w:rFonts w:hint="eastAsia" w:ascii="Times New Roman" w:hAnsi="Times New Roman" w:cs="Times New Roman"/>
                <w:sz w:val="24"/>
                <w:vertAlign w:val="superscript"/>
              </w:rPr>
              <w:t>[</w:t>
            </w:r>
            <w:r>
              <w:rPr>
                <w:rFonts w:hint="default" w:ascii="Times New Roman" w:hAnsi="Times New Roman" w:cs="Times New Roman"/>
                <w:sz w:val="24"/>
                <w:vertAlign w:val="superscript"/>
                <w:lang w:val="en-US"/>
              </w:rPr>
              <w:t>2</w:t>
            </w:r>
            <w:r>
              <w:rPr>
                <w:rFonts w:hint="eastAsia" w:ascii="Times New Roman" w:hAnsi="Times New Roman" w:cs="Times New Roman"/>
                <w:sz w:val="24"/>
                <w:vertAlign w:val="superscript"/>
              </w:rPr>
              <w:t>9]</w:t>
            </w:r>
            <w:r>
              <w:rPr>
                <w:rFonts w:hint="eastAsia" w:ascii="Times New Roman" w:hAnsi="Times New Roman" w:cs="Times New Roman"/>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96" w:type="dxa"/>
            <w:gridSpan w:val="2"/>
          </w:tcPr>
          <w:p>
            <w:pPr>
              <w:keepNext w:val="0"/>
              <w:keepLines w:val="0"/>
              <w:suppressLineNumbers w:val="0"/>
              <w:spacing w:before="0" w:beforeAutospacing="0" w:after="200" w:afterAutospacing="0" w:line="480" w:lineRule="auto"/>
              <w:ind w:left="0" w:right="0"/>
              <w:rPr>
                <w:rFonts w:hint="eastAsia" w:ascii="Times New Roman" w:hAnsi="Times New Roman" w:cs="Times New Roman"/>
                <w:sz w:val="24"/>
              </w:rPr>
            </w:pPr>
            <w:r>
              <w:rPr>
                <w:rFonts w:hint="eastAsia" w:ascii="Times New Roman" w:hAnsi="Times New Roman" w:cs="Times New Roman"/>
                <w:b/>
                <w:bCs/>
                <w:sz w:val="24"/>
              </w:rPr>
              <w:t>Blood pressure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830" w:type="dxa"/>
            <w:vAlign w:val="center"/>
          </w:tcPr>
          <w:p>
            <w:pPr>
              <w:keepNext w:val="0"/>
              <w:keepLines w:val="0"/>
              <w:suppressLineNumbers w:val="0"/>
              <w:spacing w:before="0" w:beforeAutospacing="0" w:after="200" w:afterAutospacing="0" w:line="480" w:lineRule="auto"/>
              <w:ind w:left="0" w:right="0"/>
              <w:jc w:val="center"/>
              <w:rPr>
                <w:rFonts w:hint="eastAsia" w:ascii="Times New Roman" w:hAnsi="Times New Roman" w:cs="Times New Roman"/>
                <w:sz w:val="24"/>
              </w:rPr>
            </w:pPr>
            <w:r>
              <w:rPr>
                <w:rFonts w:hint="eastAsia" w:ascii="Times New Roman" w:hAnsi="Times New Roman" w:cs="Times New Roman"/>
                <w:sz w:val="24"/>
              </w:rPr>
              <w:t>Hypertension</w:t>
            </w:r>
          </w:p>
        </w:tc>
        <w:tc>
          <w:tcPr>
            <w:tcW w:w="5466" w:type="dxa"/>
          </w:tcPr>
          <w:p>
            <w:pPr>
              <w:keepNext w:val="0"/>
              <w:keepLines w:val="0"/>
              <w:suppressLineNumbers w:val="0"/>
              <w:spacing w:before="0" w:beforeAutospacing="0" w:after="200" w:afterAutospacing="0" w:line="480" w:lineRule="auto"/>
              <w:ind w:left="0" w:right="0"/>
              <w:rPr>
                <w:rFonts w:hint="eastAsia" w:ascii="Times New Roman" w:hAnsi="Times New Roman" w:cs="Times New Roman"/>
                <w:sz w:val="24"/>
              </w:rPr>
            </w:pPr>
            <w:r>
              <w:rPr>
                <w:rFonts w:hint="eastAsia" w:ascii="Times New Roman" w:hAnsi="Times New Roman" w:cs="Times New Roman"/>
                <w:sz w:val="24"/>
              </w:rPr>
              <w:t xml:space="preserve">A meta-analysis of 31 studies including 9284 patients with essential hypertension confirmed the increased risk of AF when setting blood pressure level as matching criterion (4.00, 95% CI: 1.83-8.76) after median of 8.8 years </w:t>
            </w:r>
            <w:r>
              <w:rPr>
                <w:rFonts w:hint="eastAsia" w:ascii="Times New Roman" w:hAnsi="Times New Roman" w:cs="Times New Roman"/>
                <w:sz w:val="24"/>
                <w:vertAlign w:val="superscript"/>
              </w:rPr>
              <w:t>[</w:t>
            </w:r>
            <w:r>
              <w:rPr>
                <w:rFonts w:hint="default" w:ascii="Times New Roman" w:hAnsi="Times New Roman" w:cs="Times New Roman"/>
                <w:sz w:val="24"/>
                <w:vertAlign w:val="superscript"/>
                <w:lang w:val="en-US"/>
              </w:rPr>
              <w:t>3</w:t>
            </w:r>
            <w:r>
              <w:rPr>
                <w:rFonts w:hint="eastAsia" w:ascii="Times New Roman" w:hAnsi="Times New Roman" w:cs="Times New Roman"/>
                <w:sz w:val="24"/>
                <w:vertAlign w:val="superscript"/>
              </w:rPr>
              <w:t>0]</w:t>
            </w:r>
            <w:r>
              <w:rPr>
                <w:rFonts w:hint="eastAsia" w:ascii="Times New Roman" w:hAnsi="Times New Roman" w:cs="Times New Roman"/>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830" w:type="dxa"/>
            <w:vAlign w:val="center"/>
          </w:tcPr>
          <w:p>
            <w:pPr>
              <w:keepNext w:val="0"/>
              <w:keepLines w:val="0"/>
              <w:suppressLineNumbers w:val="0"/>
              <w:spacing w:before="0" w:beforeAutospacing="0" w:after="200" w:afterAutospacing="0" w:line="480" w:lineRule="auto"/>
              <w:ind w:left="0" w:right="0"/>
              <w:jc w:val="center"/>
              <w:rPr>
                <w:rFonts w:hint="eastAsia" w:ascii="Times New Roman" w:hAnsi="Times New Roman" w:cs="Times New Roman"/>
                <w:sz w:val="24"/>
              </w:rPr>
            </w:pPr>
            <w:r>
              <w:rPr>
                <w:rFonts w:hint="eastAsia" w:ascii="Times New Roman" w:hAnsi="Times New Roman" w:cs="Times New Roman"/>
                <w:sz w:val="24"/>
              </w:rPr>
              <w:t>SBP</w:t>
            </w:r>
          </w:p>
        </w:tc>
        <w:tc>
          <w:tcPr>
            <w:tcW w:w="5466" w:type="dxa"/>
          </w:tcPr>
          <w:p>
            <w:pPr>
              <w:keepNext w:val="0"/>
              <w:keepLines w:val="0"/>
              <w:suppressLineNumbers w:val="0"/>
              <w:spacing w:before="0" w:beforeAutospacing="0" w:after="200" w:afterAutospacing="0" w:line="480" w:lineRule="auto"/>
              <w:ind w:left="0" w:right="0"/>
              <w:rPr>
                <w:rFonts w:hint="eastAsia" w:ascii="Times New Roman" w:hAnsi="Times New Roman" w:cs="Times New Roman"/>
                <w:sz w:val="24"/>
              </w:rPr>
            </w:pPr>
            <w:r>
              <w:rPr>
                <w:rFonts w:hint="eastAsia" w:ascii="Times New Roman" w:hAnsi="Times New Roman" w:cs="Times New Roman"/>
                <w:sz w:val="24"/>
              </w:rPr>
              <w:t xml:space="preserve">In the LIFE study, the lower in-treatment SBP (per 10mmHg decrease) was associated with 17% risk reduction (P=0.008) for new-onset AF in ISH patients and 9% risk reduction (P=0.006) in non-ISH patients, a significant interaction (P=0.041) was in favor of SBP reduction and AF prevention in ISH vs. non-ISH patient </w:t>
            </w:r>
            <w:r>
              <w:rPr>
                <w:rFonts w:hint="eastAsia" w:ascii="Times New Roman" w:hAnsi="Times New Roman" w:cs="Times New Roman"/>
                <w:sz w:val="24"/>
                <w:vertAlign w:val="superscript"/>
              </w:rPr>
              <w:t>[</w:t>
            </w:r>
            <w:r>
              <w:rPr>
                <w:rFonts w:hint="default" w:ascii="Times New Roman" w:hAnsi="Times New Roman" w:cs="Times New Roman"/>
                <w:sz w:val="24"/>
                <w:vertAlign w:val="superscript"/>
                <w:lang w:val="en-US"/>
              </w:rPr>
              <w:t>3</w:t>
            </w:r>
            <w:r>
              <w:rPr>
                <w:rFonts w:hint="eastAsia" w:ascii="Times New Roman" w:hAnsi="Times New Roman" w:cs="Times New Roman"/>
                <w:sz w:val="24"/>
                <w:vertAlign w:val="superscript"/>
              </w:rPr>
              <w:t>1]</w:t>
            </w:r>
            <w:r>
              <w:rPr>
                <w:rFonts w:hint="eastAsia" w:ascii="Times New Roman" w:hAnsi="Times New Roman" w:cs="Times New Roman"/>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830" w:type="dxa"/>
            <w:vAlign w:val="center"/>
          </w:tcPr>
          <w:p>
            <w:pPr>
              <w:keepNext w:val="0"/>
              <w:keepLines w:val="0"/>
              <w:suppressLineNumbers w:val="0"/>
              <w:spacing w:before="0" w:beforeAutospacing="0" w:after="200" w:afterAutospacing="0" w:line="480" w:lineRule="auto"/>
              <w:ind w:left="0" w:right="0"/>
              <w:jc w:val="center"/>
              <w:rPr>
                <w:rFonts w:hint="eastAsia" w:ascii="Times New Roman" w:hAnsi="Times New Roman" w:cs="Times New Roman"/>
                <w:sz w:val="24"/>
              </w:rPr>
            </w:pPr>
            <w:r>
              <w:rPr>
                <w:rFonts w:hint="eastAsia" w:ascii="Times New Roman" w:hAnsi="Times New Roman" w:cs="Times New Roman"/>
                <w:sz w:val="24"/>
              </w:rPr>
              <w:t>DBP</w:t>
            </w:r>
          </w:p>
        </w:tc>
        <w:tc>
          <w:tcPr>
            <w:tcW w:w="5466" w:type="dxa"/>
          </w:tcPr>
          <w:p>
            <w:pPr>
              <w:keepNext w:val="0"/>
              <w:keepLines w:val="0"/>
              <w:suppressLineNumbers w:val="0"/>
              <w:spacing w:before="0" w:beforeAutospacing="0" w:after="200" w:afterAutospacing="0" w:line="480" w:lineRule="auto"/>
              <w:ind w:left="0" w:right="0"/>
              <w:rPr>
                <w:rFonts w:hint="eastAsia" w:ascii="Times New Roman" w:hAnsi="Times New Roman" w:cs="Times New Roman"/>
                <w:sz w:val="24"/>
              </w:rPr>
            </w:pPr>
            <w:r>
              <w:rPr>
                <w:rFonts w:hint="eastAsia" w:ascii="Times New Roman" w:hAnsi="Times New Roman" w:cs="Times New Roman"/>
                <w:sz w:val="24"/>
              </w:rPr>
              <w:t xml:space="preserve">In a cohort of initially healthy women, adjusted HR across baseline DBP categories (&lt;65, 65 to 74, 75 to 84, 85 to 89, 90 to 94, and≥95 mmHg) were 1.0, 1.17 (95% CI, 0.81 to 1.69), 1.18 (95% CI, 0.84 to 1.65), 1.53 (95% CI, 1.05 to 2.23), 1.35 (95% CI, 0.82 to 2.22), and 2.15 (95% CI, 1.21 to 3.84) (P=0.004), which significantly correlates to the long term risk of AF </w:t>
            </w:r>
            <w:r>
              <w:rPr>
                <w:rFonts w:hint="eastAsia" w:ascii="Times New Roman" w:hAnsi="Times New Roman" w:cs="Times New Roman"/>
                <w:sz w:val="24"/>
                <w:vertAlign w:val="superscript"/>
              </w:rPr>
              <w:t>[</w:t>
            </w:r>
            <w:r>
              <w:rPr>
                <w:rFonts w:hint="default" w:ascii="Times New Roman" w:hAnsi="Times New Roman" w:cs="Times New Roman"/>
                <w:sz w:val="24"/>
                <w:vertAlign w:val="superscript"/>
                <w:lang w:val="en-US"/>
              </w:rPr>
              <w:t>3</w:t>
            </w:r>
            <w:r>
              <w:rPr>
                <w:rFonts w:hint="eastAsia" w:ascii="Times New Roman" w:hAnsi="Times New Roman" w:cs="Times New Roman"/>
                <w:sz w:val="24"/>
                <w:vertAlign w:val="superscript"/>
              </w:rPr>
              <w:t>2]</w:t>
            </w:r>
            <w:r>
              <w:rPr>
                <w:rFonts w:hint="eastAsia" w:ascii="Times New Roman" w:hAnsi="Times New Roman" w:cs="Times New Roman"/>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96" w:type="dxa"/>
            <w:gridSpan w:val="2"/>
            <w:vAlign w:val="center"/>
          </w:tcPr>
          <w:p>
            <w:pPr>
              <w:keepNext w:val="0"/>
              <w:keepLines w:val="0"/>
              <w:suppressLineNumbers w:val="0"/>
              <w:spacing w:before="0" w:beforeAutospacing="0" w:after="200" w:afterAutospacing="0" w:line="480" w:lineRule="auto"/>
              <w:ind w:left="0" w:right="0"/>
              <w:rPr>
                <w:rFonts w:hint="eastAsia" w:ascii="Times New Roman" w:hAnsi="Times New Roman" w:cs="Times New Roman"/>
                <w:b/>
                <w:bCs/>
                <w:sz w:val="24"/>
              </w:rPr>
            </w:pPr>
            <w:r>
              <w:rPr>
                <w:rFonts w:hint="eastAsia" w:ascii="Times New Roman" w:hAnsi="Times New Roman" w:cs="Times New Roman"/>
                <w:b/>
                <w:bCs/>
                <w:sz w:val="24"/>
              </w:rPr>
              <w:t>Metabolites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830" w:type="dxa"/>
            <w:vAlign w:val="center"/>
          </w:tcPr>
          <w:p>
            <w:pPr>
              <w:keepNext w:val="0"/>
              <w:keepLines w:val="0"/>
              <w:suppressLineNumbers w:val="0"/>
              <w:spacing w:before="0" w:beforeAutospacing="0" w:after="200" w:afterAutospacing="0" w:line="480" w:lineRule="auto"/>
              <w:ind w:left="0" w:right="0"/>
              <w:jc w:val="center"/>
              <w:rPr>
                <w:rFonts w:hint="eastAsia" w:ascii="Times New Roman" w:hAnsi="Times New Roman" w:cs="Times New Roman"/>
                <w:sz w:val="24"/>
              </w:rPr>
            </w:pPr>
            <w:r>
              <w:rPr>
                <w:rFonts w:hint="eastAsia" w:ascii="Times New Roman" w:hAnsi="Times New Roman" w:cs="Times New Roman"/>
                <w:sz w:val="24"/>
              </w:rPr>
              <w:t>Blood glucose</w:t>
            </w:r>
          </w:p>
        </w:tc>
        <w:tc>
          <w:tcPr>
            <w:tcW w:w="5466" w:type="dxa"/>
          </w:tcPr>
          <w:p>
            <w:pPr>
              <w:keepNext w:val="0"/>
              <w:keepLines w:val="0"/>
              <w:suppressLineNumbers w:val="0"/>
              <w:spacing w:before="0" w:beforeAutospacing="0" w:after="200" w:afterAutospacing="0" w:line="480" w:lineRule="auto"/>
              <w:ind w:left="0" w:right="0"/>
              <w:rPr>
                <w:rFonts w:hint="eastAsia" w:ascii="Times New Roman" w:hAnsi="Times New Roman" w:cs="Times New Roman"/>
                <w:sz w:val="24"/>
              </w:rPr>
            </w:pPr>
            <w:r>
              <w:rPr>
                <w:rFonts w:hint="eastAsia" w:ascii="Times New Roman" w:hAnsi="Times New Roman" w:cs="Times New Roman"/>
                <w:sz w:val="24"/>
              </w:rPr>
              <w:t xml:space="preserve">A meta-analysis of diabetes/pre-diabetes and AF concluded that the summary RR was 1.20 (95% CI: 1.03-1.39, I-2 = 30%, n = 4, 2392 cases, 58,547 participants) for the association between prediabetes and atrial fibrillation; per 20 mg/dl increase of blood glucose in relation to atrial fibrillation (3385 cases, 247,447 participants) </w:t>
            </w:r>
            <w:r>
              <w:rPr>
                <w:rFonts w:hint="eastAsia" w:ascii="Times New Roman" w:hAnsi="Times New Roman" w:cs="Times New Roman"/>
                <w:sz w:val="24"/>
                <w:vertAlign w:val="superscript"/>
              </w:rPr>
              <w:t>[</w:t>
            </w:r>
            <w:r>
              <w:rPr>
                <w:rFonts w:hint="default" w:ascii="Times New Roman" w:hAnsi="Times New Roman" w:cs="Times New Roman"/>
                <w:sz w:val="24"/>
                <w:vertAlign w:val="superscript"/>
                <w:lang w:val="en-US"/>
              </w:rPr>
              <w:t>3</w:t>
            </w:r>
            <w:r>
              <w:rPr>
                <w:rFonts w:hint="eastAsia" w:ascii="Times New Roman" w:hAnsi="Times New Roman" w:cs="Times New Roman"/>
                <w:sz w:val="24"/>
                <w:vertAlign w:val="superscript"/>
              </w:rPr>
              <w:t>3]</w:t>
            </w:r>
            <w:r>
              <w:rPr>
                <w:rFonts w:hint="eastAsia" w:ascii="Times New Roman" w:hAnsi="Times New Roman" w:cs="Times New Roman"/>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830" w:type="dxa"/>
            <w:vAlign w:val="center"/>
          </w:tcPr>
          <w:p>
            <w:pPr>
              <w:keepNext w:val="0"/>
              <w:keepLines w:val="0"/>
              <w:suppressLineNumbers w:val="0"/>
              <w:spacing w:before="0" w:beforeAutospacing="0" w:after="200" w:afterAutospacing="0" w:line="480" w:lineRule="auto"/>
              <w:ind w:left="0" w:right="0"/>
              <w:jc w:val="center"/>
              <w:rPr>
                <w:rFonts w:hint="eastAsia" w:ascii="Times New Roman" w:hAnsi="Times New Roman" w:cs="Times New Roman"/>
                <w:sz w:val="24"/>
              </w:rPr>
            </w:pPr>
            <w:r>
              <w:rPr>
                <w:rFonts w:hint="eastAsia" w:ascii="Times New Roman" w:hAnsi="Times New Roman" w:cs="Times New Roman"/>
                <w:sz w:val="24"/>
              </w:rPr>
              <w:t>Fast Insulin</w:t>
            </w:r>
          </w:p>
        </w:tc>
        <w:tc>
          <w:tcPr>
            <w:tcW w:w="5466" w:type="dxa"/>
          </w:tcPr>
          <w:p>
            <w:pPr>
              <w:keepNext w:val="0"/>
              <w:keepLines w:val="0"/>
              <w:suppressLineNumbers w:val="0"/>
              <w:spacing w:before="0" w:beforeAutospacing="0" w:after="200" w:afterAutospacing="0" w:line="480" w:lineRule="auto"/>
              <w:ind w:left="0" w:right="0"/>
              <w:rPr>
                <w:rFonts w:hint="eastAsia" w:ascii="Times New Roman" w:hAnsi="Times New Roman" w:cs="Times New Roman"/>
                <w:sz w:val="24"/>
              </w:rPr>
            </w:pPr>
            <w:r>
              <w:rPr>
                <w:rFonts w:hint="eastAsia" w:ascii="Times New Roman" w:hAnsi="Times New Roman" w:cs="Times New Roman"/>
                <w:sz w:val="24"/>
              </w:rPr>
              <w:t xml:space="preserve">In a Chinese cohort, during the follow-up 1 year after ablation, 26.7% patients experienced AF recurrence, and the insulin resistance level estimated by the homeostasis model showed the independent association with AF recurrence (HR 1.259, 95% CI 1.086-1.460, P = 0.002) </w:t>
            </w:r>
            <w:r>
              <w:rPr>
                <w:rFonts w:hint="eastAsia" w:ascii="Times New Roman" w:hAnsi="Times New Roman" w:cs="Times New Roman"/>
                <w:sz w:val="24"/>
                <w:vertAlign w:val="superscript"/>
              </w:rPr>
              <w:t>[</w:t>
            </w:r>
            <w:r>
              <w:rPr>
                <w:rFonts w:hint="default" w:ascii="Times New Roman" w:hAnsi="Times New Roman" w:cs="Times New Roman"/>
                <w:sz w:val="24"/>
                <w:vertAlign w:val="superscript"/>
                <w:lang w:val="en-US"/>
              </w:rPr>
              <w:t>3</w:t>
            </w:r>
            <w:r>
              <w:rPr>
                <w:rFonts w:hint="eastAsia" w:ascii="Times New Roman" w:hAnsi="Times New Roman" w:cs="Times New Roman"/>
                <w:sz w:val="24"/>
                <w:vertAlign w:val="superscript"/>
              </w:rPr>
              <w:t>4]</w:t>
            </w:r>
            <w:r>
              <w:rPr>
                <w:rFonts w:hint="eastAsia" w:ascii="Times New Roman" w:hAnsi="Times New Roman" w:cs="Times New Roman"/>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830" w:type="dxa"/>
            <w:vAlign w:val="center"/>
          </w:tcPr>
          <w:p>
            <w:pPr>
              <w:keepNext w:val="0"/>
              <w:keepLines w:val="0"/>
              <w:suppressLineNumbers w:val="0"/>
              <w:spacing w:before="0" w:beforeAutospacing="0" w:after="200" w:afterAutospacing="0" w:line="480" w:lineRule="auto"/>
              <w:ind w:left="0" w:right="0"/>
              <w:jc w:val="center"/>
              <w:rPr>
                <w:rFonts w:hint="eastAsia" w:ascii="Times New Roman" w:hAnsi="Times New Roman" w:cs="Times New Roman"/>
                <w:sz w:val="24"/>
              </w:rPr>
            </w:pPr>
            <w:r>
              <w:rPr>
                <w:rFonts w:hint="eastAsia" w:ascii="Times New Roman" w:hAnsi="Times New Roman" w:cs="Times New Roman"/>
                <w:sz w:val="24"/>
              </w:rPr>
              <w:t>LDL-C</w:t>
            </w:r>
          </w:p>
        </w:tc>
        <w:tc>
          <w:tcPr>
            <w:tcW w:w="5466" w:type="dxa"/>
            <w:vMerge w:val="restart"/>
          </w:tcPr>
          <w:p>
            <w:pPr>
              <w:keepNext w:val="0"/>
              <w:keepLines w:val="0"/>
              <w:suppressLineNumbers w:val="0"/>
              <w:spacing w:before="0" w:beforeAutospacing="0" w:after="200" w:afterAutospacing="0" w:line="480" w:lineRule="auto"/>
              <w:ind w:left="0" w:right="0"/>
              <w:rPr>
                <w:rFonts w:hint="eastAsia" w:ascii="Times New Roman" w:hAnsi="Times New Roman" w:cs="Times New Roman"/>
                <w:sz w:val="24"/>
              </w:rPr>
            </w:pPr>
            <w:r>
              <w:rPr>
                <w:rFonts w:hint="eastAsia" w:ascii="Times New Roman" w:hAnsi="Times New Roman" w:cs="Times New Roman"/>
                <w:sz w:val="24"/>
              </w:rPr>
              <w:t>The hazard ratios of developing AF during the 35-year follow-up in LDL-C, HDL-C and Apolipoprotein A in 65,136 middle-aged individuals were 0.64 (95% CI: 0.45 to 0.92, p = 0.016),</w:t>
            </w:r>
            <w:r>
              <w:rPr>
                <w:rFonts w:hint="eastAsia"/>
              </w:rPr>
              <w:t xml:space="preserve"> (</w:t>
            </w:r>
            <w:r>
              <w:rPr>
                <w:rFonts w:hint="eastAsia" w:ascii="Times New Roman" w:hAnsi="Times New Roman" w:cs="Times New Roman"/>
                <w:sz w:val="24"/>
              </w:rPr>
              <w:t>1.13 (95% CI: 1.07 ~ 1.19, p &lt; 0.001) to 1.53 (95% CI: 1.12 ~ 2.00, p = 0.007)), from the Swedish Apolipoprotein-Related Mortality Risk (AMORIS) cohort.</w:t>
            </w:r>
            <w:r>
              <w:rPr>
                <w:rFonts w:hint="eastAsia" w:ascii="Times New Roman" w:hAnsi="Times New Roman" w:cs="Times New Roman"/>
              </w:rPr>
              <w:t xml:space="preserve"> </w:t>
            </w:r>
            <w:r>
              <w:rPr>
                <w:rFonts w:hint="eastAsia" w:ascii="Times New Roman" w:hAnsi="Times New Roman" w:cs="Times New Roman"/>
                <w:sz w:val="24"/>
              </w:rPr>
              <w:t xml:space="preserve">High LDL-C in midlife patients was associated with a lower risk of AF, but low HDL-C and ApoA-I were associated with an increased risk of AF </w:t>
            </w:r>
            <w:r>
              <w:rPr>
                <w:rFonts w:hint="eastAsia" w:ascii="Times New Roman" w:hAnsi="Times New Roman" w:cs="Times New Roman"/>
                <w:sz w:val="24"/>
                <w:vertAlign w:val="superscript"/>
              </w:rPr>
              <w:t>[</w:t>
            </w:r>
            <w:r>
              <w:rPr>
                <w:rFonts w:hint="default" w:ascii="Times New Roman" w:hAnsi="Times New Roman" w:cs="Times New Roman"/>
                <w:sz w:val="24"/>
                <w:vertAlign w:val="superscript"/>
                <w:lang w:val="en-US"/>
              </w:rPr>
              <w:t>3</w:t>
            </w:r>
            <w:r>
              <w:rPr>
                <w:rFonts w:hint="eastAsia" w:ascii="Times New Roman" w:hAnsi="Times New Roman" w:cs="Times New Roman"/>
                <w:sz w:val="24"/>
                <w:vertAlign w:val="superscript"/>
              </w:rPr>
              <w:t>5]</w:t>
            </w:r>
            <w:r>
              <w:rPr>
                <w:rFonts w:hint="eastAsia" w:ascii="Times New Roman" w:hAnsi="Times New Roman" w:cs="Times New Roman"/>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830" w:type="dxa"/>
            <w:vAlign w:val="center"/>
          </w:tcPr>
          <w:p>
            <w:pPr>
              <w:keepNext w:val="0"/>
              <w:keepLines w:val="0"/>
              <w:suppressLineNumbers w:val="0"/>
              <w:spacing w:before="0" w:beforeAutospacing="0" w:after="200" w:afterAutospacing="0" w:line="480" w:lineRule="auto"/>
              <w:ind w:left="0" w:right="0"/>
              <w:jc w:val="center"/>
              <w:rPr>
                <w:rFonts w:hint="eastAsia" w:ascii="Times New Roman" w:hAnsi="Times New Roman" w:cs="Times New Roman"/>
                <w:sz w:val="24"/>
              </w:rPr>
            </w:pPr>
            <w:r>
              <w:rPr>
                <w:rFonts w:hint="eastAsia" w:ascii="Times New Roman" w:hAnsi="Times New Roman" w:cs="Times New Roman"/>
                <w:sz w:val="24"/>
              </w:rPr>
              <w:t>HDL-C</w:t>
            </w:r>
          </w:p>
        </w:tc>
        <w:tc>
          <w:tcPr>
            <w:tcW w:w="5466" w:type="dxa"/>
            <w:vMerge w:val="continue"/>
          </w:tcPr>
          <w:p>
            <w:pPr>
              <w:keepNext w:val="0"/>
              <w:keepLines w:val="0"/>
              <w:suppressLineNumbers w:val="0"/>
              <w:spacing w:before="0" w:beforeAutospacing="0" w:after="200" w:afterAutospacing="0" w:line="480" w:lineRule="auto"/>
              <w:ind w:left="0" w:right="0"/>
              <w:rPr>
                <w:rFonts w:hint="eastAsia"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830" w:type="dxa"/>
            <w:vAlign w:val="center"/>
          </w:tcPr>
          <w:p>
            <w:pPr>
              <w:keepNext w:val="0"/>
              <w:keepLines w:val="0"/>
              <w:suppressLineNumbers w:val="0"/>
              <w:spacing w:before="0" w:beforeAutospacing="0" w:after="200" w:afterAutospacing="0" w:line="480" w:lineRule="auto"/>
              <w:ind w:left="0" w:right="0"/>
              <w:jc w:val="center"/>
              <w:rPr>
                <w:rFonts w:hint="eastAsia" w:ascii="Times New Roman" w:hAnsi="Times New Roman" w:cs="Times New Roman"/>
                <w:sz w:val="24"/>
              </w:rPr>
            </w:pPr>
            <w:r>
              <w:rPr>
                <w:rFonts w:hint="eastAsia" w:ascii="Times New Roman" w:hAnsi="Times New Roman" w:cs="Times New Roman"/>
                <w:sz w:val="24"/>
              </w:rPr>
              <w:t>Apolipoprotein A</w:t>
            </w:r>
          </w:p>
        </w:tc>
        <w:tc>
          <w:tcPr>
            <w:tcW w:w="5466" w:type="dxa"/>
            <w:vMerge w:val="continue"/>
          </w:tcPr>
          <w:p>
            <w:pPr>
              <w:keepNext w:val="0"/>
              <w:keepLines w:val="0"/>
              <w:suppressLineNumbers w:val="0"/>
              <w:spacing w:before="0" w:beforeAutospacing="0" w:after="200" w:afterAutospacing="0" w:line="480" w:lineRule="auto"/>
              <w:ind w:left="0" w:right="0"/>
              <w:rPr>
                <w:rFonts w:hint="eastAsia"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830" w:type="dxa"/>
            <w:vAlign w:val="center"/>
          </w:tcPr>
          <w:p>
            <w:pPr>
              <w:keepNext w:val="0"/>
              <w:keepLines w:val="0"/>
              <w:suppressLineNumbers w:val="0"/>
              <w:spacing w:before="0" w:beforeAutospacing="0" w:after="200" w:afterAutospacing="0" w:line="480" w:lineRule="auto"/>
              <w:ind w:left="0" w:right="0"/>
              <w:jc w:val="center"/>
              <w:rPr>
                <w:rFonts w:hint="eastAsia" w:ascii="Times New Roman" w:hAnsi="Times New Roman" w:cs="Times New Roman"/>
                <w:sz w:val="24"/>
              </w:rPr>
            </w:pPr>
            <w:r>
              <w:rPr>
                <w:rFonts w:hint="eastAsia" w:ascii="Times New Roman" w:hAnsi="Times New Roman" w:cs="Times New Roman"/>
                <w:sz w:val="24"/>
              </w:rPr>
              <w:t>Coronary atherosclerosis</w:t>
            </w:r>
          </w:p>
        </w:tc>
        <w:tc>
          <w:tcPr>
            <w:tcW w:w="5466" w:type="dxa"/>
          </w:tcPr>
          <w:p>
            <w:pPr>
              <w:keepNext w:val="0"/>
              <w:keepLines w:val="0"/>
              <w:suppressLineNumbers w:val="0"/>
              <w:spacing w:before="0" w:beforeAutospacing="0" w:after="200" w:afterAutospacing="0" w:line="480" w:lineRule="auto"/>
              <w:ind w:left="0" w:right="0"/>
              <w:rPr>
                <w:rFonts w:hint="eastAsia" w:ascii="Times New Roman" w:hAnsi="Times New Roman" w:cs="Times New Roman"/>
                <w:sz w:val="24"/>
              </w:rPr>
            </w:pPr>
            <w:r>
              <w:rPr>
                <w:rFonts w:hint="eastAsia" w:ascii="Times New Roman" w:hAnsi="Times New Roman" w:cs="Times New Roman"/>
                <w:sz w:val="24"/>
              </w:rPr>
              <w:t xml:space="preserve">Rates of AF increase 40% to 50% in patients undergoing coronary bypass grafting. In an international analysis of 4624 participants without AF who underwent CABG with 5-year follow-up, and 778 (16.8%) patients had POAF that lasted for &gt; 5 minutes; while increasing the use of proven secondary prevention medications was protective, being associated with a reduced risk of POAF. </w:t>
            </w:r>
            <w:r>
              <w:rPr>
                <w:rFonts w:hint="eastAsia" w:ascii="Times New Roman" w:hAnsi="Times New Roman" w:cs="Times New Roman"/>
                <w:sz w:val="24"/>
                <w:vertAlign w:val="superscript"/>
              </w:rPr>
              <w:t>[</w:t>
            </w:r>
            <w:r>
              <w:rPr>
                <w:rFonts w:hint="default" w:ascii="Times New Roman" w:hAnsi="Times New Roman" w:cs="Times New Roman"/>
                <w:sz w:val="24"/>
                <w:vertAlign w:val="superscript"/>
                <w:lang w:val="en-US"/>
              </w:rPr>
              <w:t>3</w:t>
            </w:r>
            <w:r>
              <w:rPr>
                <w:rFonts w:hint="eastAsia" w:ascii="Times New Roman" w:hAnsi="Times New Roman" w:cs="Times New Roman"/>
                <w:sz w:val="24"/>
                <w:vertAlign w:val="superscript"/>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830" w:type="dxa"/>
            <w:vAlign w:val="center"/>
          </w:tcPr>
          <w:p>
            <w:pPr>
              <w:keepNext w:val="0"/>
              <w:keepLines w:val="0"/>
              <w:suppressLineNumbers w:val="0"/>
              <w:spacing w:before="0" w:beforeAutospacing="0" w:after="200" w:afterAutospacing="0" w:line="480" w:lineRule="auto"/>
              <w:ind w:left="0" w:right="0"/>
              <w:jc w:val="center"/>
              <w:rPr>
                <w:rFonts w:hint="eastAsia" w:ascii="Times New Roman" w:hAnsi="Times New Roman" w:cs="Times New Roman"/>
                <w:sz w:val="24"/>
              </w:rPr>
            </w:pPr>
            <w:r>
              <w:rPr>
                <w:rFonts w:hint="eastAsia" w:ascii="Times New Roman" w:hAnsi="Times New Roman" w:cs="Times New Roman"/>
                <w:sz w:val="24"/>
              </w:rPr>
              <w:t>Vitamin C</w:t>
            </w:r>
          </w:p>
        </w:tc>
        <w:tc>
          <w:tcPr>
            <w:tcW w:w="5466" w:type="dxa"/>
          </w:tcPr>
          <w:p>
            <w:pPr>
              <w:keepNext w:val="0"/>
              <w:keepLines w:val="0"/>
              <w:suppressLineNumbers w:val="0"/>
              <w:spacing w:before="0" w:beforeAutospacing="0" w:after="200" w:afterAutospacing="0" w:line="480" w:lineRule="auto"/>
              <w:ind w:left="0" w:right="0"/>
              <w:rPr>
                <w:rFonts w:hint="eastAsia" w:ascii="Times New Roman" w:hAnsi="Times New Roman" w:cs="Times New Roman"/>
                <w:sz w:val="24"/>
              </w:rPr>
            </w:pPr>
            <w:r>
              <w:rPr>
                <w:rFonts w:hint="eastAsia" w:ascii="Times New Roman" w:hAnsi="Times New Roman" w:cs="Times New Roman"/>
                <w:sz w:val="24"/>
              </w:rPr>
              <w:t>A meta-analysis evaluating the benefits and adverse effects of oral vitamin C supplement on AF after cardiac surgery concludes that vitamin C treatment was associated with a substantial reduction in postoperative AF with OR 0.47</w:t>
            </w:r>
            <w:bookmarkStart w:id="0" w:name="_GoBack"/>
            <w:bookmarkEnd w:id="0"/>
            <w:r>
              <w:rPr>
                <w:rFonts w:hint="eastAsia" w:ascii="Times New Roman" w:hAnsi="Times New Roman" w:cs="Times New Roman"/>
                <w:sz w:val="24"/>
              </w:rPr>
              <w:t xml:space="preserve">(95% CI, 0.36-0.62; evidence rank: moderate) </w:t>
            </w:r>
            <w:r>
              <w:rPr>
                <w:rFonts w:hint="eastAsia" w:ascii="Times New Roman" w:hAnsi="Times New Roman" w:cs="Times New Roman"/>
                <w:sz w:val="24"/>
                <w:vertAlign w:val="superscript"/>
              </w:rPr>
              <w:t>[</w:t>
            </w:r>
            <w:r>
              <w:rPr>
                <w:rFonts w:hint="default" w:ascii="Times New Roman" w:hAnsi="Times New Roman" w:cs="Times New Roman"/>
                <w:sz w:val="24"/>
                <w:vertAlign w:val="superscript"/>
                <w:lang w:val="en-US"/>
              </w:rPr>
              <w:t>3</w:t>
            </w:r>
            <w:r>
              <w:rPr>
                <w:rFonts w:hint="eastAsia" w:ascii="Times New Roman" w:hAnsi="Times New Roman" w:cs="Times New Roman"/>
                <w:sz w:val="24"/>
                <w:vertAlign w:val="superscript"/>
              </w:rPr>
              <w:t>7]</w:t>
            </w:r>
            <w:r>
              <w:rPr>
                <w:rFonts w:hint="eastAsia" w:ascii="Times New Roman" w:hAnsi="Times New Roman" w:cs="Times New Roman"/>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830" w:type="dxa"/>
            <w:vAlign w:val="center"/>
          </w:tcPr>
          <w:p>
            <w:pPr>
              <w:keepNext w:val="0"/>
              <w:keepLines w:val="0"/>
              <w:suppressLineNumbers w:val="0"/>
              <w:spacing w:before="0" w:beforeAutospacing="0" w:after="200" w:afterAutospacing="0" w:line="480" w:lineRule="auto"/>
              <w:ind w:left="0" w:right="0"/>
              <w:jc w:val="center"/>
              <w:rPr>
                <w:rFonts w:hint="eastAsia" w:ascii="Times New Roman" w:hAnsi="Times New Roman" w:cs="Times New Roman"/>
                <w:sz w:val="24"/>
              </w:rPr>
            </w:pPr>
            <w:r>
              <w:rPr>
                <w:rFonts w:hint="eastAsia" w:ascii="Times New Roman" w:hAnsi="Times New Roman" w:cs="Times New Roman"/>
                <w:sz w:val="24"/>
              </w:rPr>
              <w:t>Vitamin D</w:t>
            </w:r>
          </w:p>
        </w:tc>
        <w:tc>
          <w:tcPr>
            <w:tcW w:w="5466" w:type="dxa"/>
          </w:tcPr>
          <w:p>
            <w:pPr>
              <w:keepNext w:val="0"/>
              <w:keepLines w:val="0"/>
              <w:suppressLineNumbers w:val="0"/>
              <w:spacing w:before="0" w:beforeAutospacing="0" w:after="200" w:afterAutospacing="0" w:line="480" w:lineRule="auto"/>
              <w:ind w:left="0" w:right="0"/>
              <w:rPr>
                <w:rFonts w:hint="eastAsia" w:ascii="Times New Roman" w:hAnsi="Times New Roman" w:cs="Times New Roman"/>
                <w:sz w:val="24"/>
              </w:rPr>
            </w:pPr>
            <w:r>
              <w:rPr>
                <w:rFonts w:hint="eastAsia" w:ascii="Times New Roman" w:hAnsi="Times New Roman" w:cs="Times New Roman"/>
                <w:sz w:val="24"/>
              </w:rPr>
              <w:t xml:space="preserve">A cohort study (102 NVAF patients/100 controls) suggested that 25-OH vitamin D level was an independent predictor of AF with HR of 0.86 (95% CI: 0.786-0.940, P= 0.001) </w:t>
            </w:r>
            <w:r>
              <w:rPr>
                <w:rFonts w:hint="eastAsia" w:ascii="Times New Roman" w:hAnsi="Times New Roman" w:cs="Times New Roman"/>
                <w:sz w:val="24"/>
                <w:vertAlign w:val="superscript"/>
              </w:rPr>
              <w:t>[</w:t>
            </w:r>
            <w:r>
              <w:rPr>
                <w:rFonts w:hint="default" w:ascii="Times New Roman" w:hAnsi="Times New Roman" w:cs="Times New Roman"/>
                <w:sz w:val="24"/>
                <w:vertAlign w:val="superscript"/>
                <w:lang w:val="en-US"/>
              </w:rPr>
              <w:t>3</w:t>
            </w:r>
            <w:r>
              <w:rPr>
                <w:rFonts w:hint="eastAsia" w:ascii="Times New Roman" w:hAnsi="Times New Roman" w:cs="Times New Roman"/>
                <w:sz w:val="24"/>
                <w:vertAlign w:val="superscript"/>
              </w:rPr>
              <w:t>8]</w:t>
            </w:r>
            <w:r>
              <w:rPr>
                <w:rFonts w:hint="eastAsia" w:ascii="Times New Roman" w:hAnsi="Times New Roman" w:cs="Times New Roman"/>
                <w:sz w:val="24"/>
              </w:rPr>
              <w:t xml:space="preserve">. Whereas a study including 25119 participants without AF over a median of 5 years reported insufficient support of vitamin D in preventing AF with HR of 1.09 (95% CI: 0.96-1.25; P=0.19) </w:t>
            </w:r>
            <w:r>
              <w:rPr>
                <w:rFonts w:hint="eastAsia" w:ascii="Times New Roman" w:hAnsi="Times New Roman" w:cs="Times New Roman"/>
                <w:sz w:val="24"/>
                <w:vertAlign w:val="superscript"/>
              </w:rPr>
              <w:t>[</w:t>
            </w:r>
            <w:r>
              <w:rPr>
                <w:rFonts w:hint="default" w:ascii="Times New Roman" w:hAnsi="Times New Roman" w:cs="Times New Roman"/>
                <w:sz w:val="24"/>
                <w:vertAlign w:val="superscript"/>
                <w:lang w:val="en-US"/>
              </w:rPr>
              <w:t>3</w:t>
            </w:r>
            <w:r>
              <w:rPr>
                <w:rFonts w:hint="eastAsia" w:ascii="Times New Roman" w:hAnsi="Times New Roman" w:cs="Times New Roman"/>
                <w:sz w:val="24"/>
                <w:vertAlign w:val="superscript"/>
              </w:rPr>
              <w:t>9]</w:t>
            </w:r>
            <w:r>
              <w:rPr>
                <w:rFonts w:hint="eastAsia" w:ascii="Times New Roman" w:hAnsi="Times New Roman" w:cs="Times New Roman"/>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96" w:type="dxa"/>
            <w:gridSpan w:val="2"/>
            <w:vAlign w:val="center"/>
          </w:tcPr>
          <w:p>
            <w:pPr>
              <w:keepNext w:val="0"/>
              <w:keepLines w:val="0"/>
              <w:suppressLineNumbers w:val="0"/>
              <w:spacing w:before="0" w:beforeAutospacing="0" w:after="200" w:afterAutospacing="0" w:line="480" w:lineRule="auto"/>
              <w:ind w:left="0" w:right="0"/>
              <w:rPr>
                <w:rFonts w:hint="eastAsia" w:ascii="Times New Roman" w:hAnsi="Times New Roman" w:cs="Times New Roman"/>
                <w:b/>
                <w:bCs/>
                <w:sz w:val="24"/>
              </w:rPr>
            </w:pPr>
            <w:r>
              <w:rPr>
                <w:rFonts w:hint="eastAsia" w:ascii="Times New Roman" w:hAnsi="Times New Roman" w:cs="Times New Roman"/>
                <w:b/>
                <w:bCs/>
                <w:sz w:val="24"/>
              </w:rPr>
              <w:t>Coagulation function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830" w:type="dxa"/>
            <w:vAlign w:val="center"/>
          </w:tcPr>
          <w:p>
            <w:pPr>
              <w:keepNext w:val="0"/>
              <w:keepLines w:val="0"/>
              <w:suppressLineNumbers w:val="0"/>
              <w:spacing w:before="0" w:beforeAutospacing="0" w:after="200" w:afterAutospacing="0" w:line="480" w:lineRule="auto"/>
              <w:ind w:left="0" w:right="0"/>
              <w:jc w:val="center"/>
              <w:rPr>
                <w:rFonts w:hint="eastAsia" w:ascii="Times New Roman" w:hAnsi="Times New Roman" w:cs="Times New Roman"/>
                <w:sz w:val="24"/>
              </w:rPr>
            </w:pPr>
            <w:r>
              <w:rPr>
                <w:rFonts w:hint="eastAsia" w:ascii="Times New Roman" w:hAnsi="Times New Roman" w:cs="Times New Roman"/>
                <w:sz w:val="24"/>
              </w:rPr>
              <w:t>PLT</w:t>
            </w:r>
          </w:p>
        </w:tc>
        <w:tc>
          <w:tcPr>
            <w:tcW w:w="5466" w:type="dxa"/>
          </w:tcPr>
          <w:p>
            <w:pPr>
              <w:keepNext w:val="0"/>
              <w:keepLines w:val="0"/>
              <w:suppressLineNumbers w:val="0"/>
              <w:spacing w:before="0" w:beforeAutospacing="0" w:after="200" w:afterAutospacing="0" w:line="480" w:lineRule="auto"/>
              <w:ind w:left="0" w:right="0"/>
              <w:rPr>
                <w:rFonts w:hint="eastAsia" w:ascii="Times New Roman" w:hAnsi="Times New Roman" w:cs="Times New Roman"/>
                <w:sz w:val="24"/>
              </w:rPr>
            </w:pPr>
            <w:r>
              <w:rPr>
                <w:rFonts w:hint="eastAsia" w:ascii="Times New Roman" w:hAnsi="Times New Roman" w:cs="Times New Roman"/>
                <w:sz w:val="24"/>
              </w:rPr>
              <w:t xml:space="preserve">This clinical study enrolled 19 consecutive patients with paroxysmal AF to receive remote IPC (n=10) or a sham intermittent ischemia (n=9) before receiving the RF catheter ablation. Remote IPC patients had a lower increase in MPA formation (p&lt;0.0001), CD41 in the MPA gate (p=0.002) and CD41 (p&lt;0.0001) and CD62 (p=0.002) in the platelet gate compared controls. The study therefore introduced the remote IPC can constantly reduce all markers of platelet </w:t>
            </w:r>
            <w:r>
              <w:rPr>
                <w:rFonts w:hint="eastAsia" w:ascii="Times New Roman" w:hAnsi="Times New Roman" w:cs="Times New Roman"/>
                <w:sz w:val="24"/>
                <w:vertAlign w:val="superscript"/>
              </w:rPr>
              <w:t>[</w:t>
            </w:r>
            <w:r>
              <w:rPr>
                <w:rFonts w:hint="default" w:ascii="Times New Roman" w:hAnsi="Times New Roman" w:cs="Times New Roman"/>
                <w:sz w:val="24"/>
                <w:vertAlign w:val="superscript"/>
                <w:lang w:val="en-US"/>
              </w:rPr>
              <w:t>40</w:t>
            </w:r>
            <w:r>
              <w:rPr>
                <w:rFonts w:hint="eastAsia" w:ascii="Times New Roman" w:hAnsi="Times New Roman" w:cs="Times New Roman"/>
                <w:sz w:val="24"/>
                <w:vertAlign w:val="superscript"/>
              </w:rPr>
              <w:t>]</w:t>
            </w:r>
            <w:r>
              <w:rPr>
                <w:rFonts w:hint="eastAsia" w:ascii="Times New Roman" w:hAnsi="Times New Roman" w:cs="Times New Roman"/>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830" w:type="dxa"/>
            <w:vAlign w:val="center"/>
          </w:tcPr>
          <w:p>
            <w:pPr>
              <w:keepNext w:val="0"/>
              <w:keepLines w:val="0"/>
              <w:suppressLineNumbers w:val="0"/>
              <w:spacing w:before="0" w:beforeAutospacing="0" w:after="200" w:afterAutospacing="0" w:line="480" w:lineRule="auto"/>
              <w:ind w:left="0" w:right="0"/>
              <w:jc w:val="center"/>
              <w:rPr>
                <w:rFonts w:hint="default" w:ascii="Times New Roman" w:hAnsi="Times New Roman" w:cs="Times New Roman"/>
                <w:b/>
                <w:bCs/>
                <w:sz w:val="24"/>
                <w:lang w:val="en-US"/>
              </w:rPr>
            </w:pPr>
            <w:r>
              <w:rPr>
                <w:rFonts w:hint="default" w:ascii="Times New Roman" w:hAnsi="Times New Roman" w:cs="Times New Roman"/>
                <w:b w:val="0"/>
                <w:bCs w:val="0"/>
                <w:sz w:val="24"/>
                <w:lang w:val="en-US"/>
              </w:rPr>
              <w:t>PG</w:t>
            </w:r>
          </w:p>
        </w:tc>
        <w:tc>
          <w:tcPr>
            <w:tcW w:w="5466" w:type="dxa"/>
            <w:vAlign w:val="center"/>
          </w:tcPr>
          <w:p>
            <w:pPr>
              <w:keepNext w:val="0"/>
              <w:keepLines w:val="0"/>
              <w:suppressLineNumbers w:val="0"/>
              <w:spacing w:before="0" w:beforeAutospacing="0" w:after="200" w:afterAutospacing="0" w:line="480" w:lineRule="auto"/>
              <w:ind w:left="0" w:right="0"/>
              <w:rPr>
                <w:rFonts w:hint="default" w:ascii="Times New Roman" w:hAnsi="Times New Roman" w:cs="Times New Roman"/>
                <w:b/>
                <w:bCs/>
                <w:sz w:val="24"/>
                <w:lang w:val="en-US"/>
              </w:rPr>
            </w:pPr>
            <w:r>
              <w:rPr>
                <w:rFonts w:hint="default" w:ascii="Times New Roman" w:hAnsi="Times New Roman" w:cs="Times New Roman"/>
                <w:b w:val="0"/>
                <w:bCs w:val="0"/>
                <w:sz w:val="24"/>
                <w:lang w:val="en-US"/>
              </w:rPr>
              <w:t>I</w:t>
            </w:r>
            <w:r>
              <w:rPr>
                <w:rFonts w:hint="eastAsia" w:ascii="Times New Roman" w:hAnsi="Times New Roman" w:cs="Times New Roman"/>
                <w:b w:val="0"/>
                <w:bCs w:val="0"/>
                <w:sz w:val="24"/>
                <w:lang w:val="en-US" w:eastAsia="zh-CN"/>
              </w:rPr>
              <w:t xml:space="preserve">n a </w:t>
            </w:r>
            <w:r>
              <w:rPr>
                <w:rFonts w:hint="eastAsia" w:ascii="Times New Roman" w:hAnsi="Times New Roman" w:cs="Times New Roman"/>
                <w:b w:val="0"/>
                <w:bCs w:val="0"/>
                <w:sz w:val="24"/>
              </w:rPr>
              <w:t>prospective study including 1,002 anticoagulated AF patients, followed for a median time of 25.7 months</w:t>
            </w:r>
            <w:r>
              <w:rPr>
                <w:rFonts w:hint="eastAsia" w:ascii="Times New Roman" w:hAnsi="Times New Roman" w:cs="Times New Roman"/>
                <w:b w:val="0"/>
                <w:bCs w:val="0"/>
                <w:sz w:val="24"/>
                <w:lang w:val="en-US" w:eastAsia="zh-CN"/>
              </w:rPr>
              <w:t>,</w:t>
            </w:r>
            <w:r>
              <w:rPr>
                <w:rFonts w:hint="default" w:ascii="Times New Roman" w:hAnsi="Times New Roman" w:cs="Times New Roman"/>
                <w:b w:val="0"/>
                <w:bCs w:val="0"/>
                <w:sz w:val="24"/>
                <w:lang w:val="en-US" w:eastAsia="zh-CN"/>
              </w:rPr>
              <w:t xml:space="preserve"> t</w:t>
            </w:r>
            <w:r>
              <w:rPr>
                <w:rFonts w:hint="eastAsia" w:ascii="Times New Roman" w:hAnsi="Times New Roman" w:cs="Times New Roman"/>
                <w:b w:val="0"/>
                <w:bCs w:val="0"/>
                <w:sz w:val="24"/>
              </w:rPr>
              <w:t xml:space="preserve">he addition of tertiles of </w:t>
            </w:r>
            <w:r>
              <w:rPr>
                <w:rFonts w:hint="default" w:ascii="Times New Roman" w:hAnsi="Times New Roman" w:cs="Times New Roman"/>
                <w:b w:val="0"/>
                <w:bCs w:val="0"/>
                <w:sz w:val="24"/>
                <w:lang w:val="en-US"/>
              </w:rPr>
              <w:t>PG</w:t>
            </w:r>
            <w:r>
              <w:rPr>
                <w:rFonts w:hint="eastAsia" w:ascii="Times New Roman" w:hAnsi="Times New Roman" w:cs="Times New Roman"/>
                <w:b w:val="0"/>
                <w:bCs w:val="0"/>
                <w:sz w:val="24"/>
              </w:rPr>
              <w:t xml:space="preserve">αto CHA2DS2-VASc score improved ROC curves for </w:t>
            </w:r>
            <w:r>
              <w:rPr>
                <w:rFonts w:hint="default" w:ascii="Times New Roman" w:hAnsi="Times New Roman" w:cs="Times New Roman"/>
                <w:b w:val="0"/>
                <w:bCs w:val="0"/>
                <w:sz w:val="24"/>
                <w:lang w:val="en-US"/>
              </w:rPr>
              <w:t>each outcome and cardiovascular</w:t>
            </w:r>
            <w:r>
              <w:rPr>
                <w:rFonts w:hint="eastAsia" w:ascii="Times New Roman" w:hAnsi="Times New Roman" w:cs="Times New Roman"/>
                <w:b w:val="0"/>
                <w:bCs w:val="0"/>
                <w:sz w:val="24"/>
              </w:rPr>
              <w:t xml:space="preserve"> events </w:t>
            </w:r>
            <w:r>
              <w:rPr>
                <w:rFonts w:hint="default" w:ascii="Times New Roman" w:hAnsi="Times New Roman" w:cs="Times New Roman"/>
                <w:b w:val="0"/>
                <w:bCs w:val="0"/>
                <w:sz w:val="24"/>
                <w:lang w:val="en-US"/>
              </w:rPr>
              <w:t xml:space="preserve">with net reclassification index of </w:t>
            </w:r>
            <w:r>
              <w:rPr>
                <w:rFonts w:hint="eastAsia" w:ascii="Times New Roman" w:hAnsi="Times New Roman" w:cs="Times New Roman"/>
                <w:b w:val="0"/>
                <w:bCs w:val="0"/>
                <w:sz w:val="24"/>
              </w:rPr>
              <w:t xml:space="preserve">0.24 </w:t>
            </w:r>
            <w:r>
              <w:rPr>
                <w:rFonts w:hint="default" w:ascii="Times New Roman" w:hAnsi="Times New Roman" w:cs="Times New Roman"/>
                <w:b w:val="0"/>
                <w:bCs w:val="0"/>
                <w:sz w:val="24"/>
                <w:lang w:val="en-US"/>
              </w:rPr>
              <w:t xml:space="preserve">(95%CI: </w:t>
            </w:r>
            <w:r>
              <w:rPr>
                <w:rFonts w:hint="eastAsia" w:ascii="Times New Roman" w:hAnsi="Times New Roman" w:cs="Times New Roman"/>
                <w:b w:val="0"/>
                <w:bCs w:val="0"/>
                <w:sz w:val="24"/>
              </w:rPr>
              <w:t>0.06–0.53</w:t>
            </w:r>
            <w:r>
              <w:rPr>
                <w:rFonts w:hint="default" w:ascii="Times New Roman" w:hAnsi="Times New Roman" w:cs="Times New Roman"/>
                <w:b w:val="0"/>
                <w:bCs w:val="0"/>
                <w:sz w:val="24"/>
                <w:lang w:val="en-US"/>
              </w:rPr>
              <w:t>,</w:t>
            </w:r>
            <w:r>
              <w:rPr>
                <w:rFonts w:hint="eastAsia" w:ascii="Times New Roman" w:hAnsi="Times New Roman" w:cs="Times New Roman"/>
                <w:b w:val="0"/>
                <w:bCs w:val="0"/>
                <w:sz w:val="24"/>
              </w:rPr>
              <w:t xml:space="preserve"> p=0.0067)</w:t>
            </w:r>
            <w:r>
              <w:rPr>
                <w:rFonts w:hint="default" w:ascii="Times New Roman" w:hAnsi="Times New Roman" w:cs="Times New Roman"/>
                <w:b w:val="0"/>
                <w:bCs w:val="0"/>
                <w:sz w:val="24"/>
                <w:vertAlign w:val="superscript"/>
                <w:lang w:val="en-US"/>
              </w:rPr>
              <w:t>[41]</w:t>
            </w:r>
            <w:r>
              <w:rPr>
                <w:rFonts w:hint="default" w:ascii="Times New Roman" w:hAnsi="Times New Roman" w:cs="Times New Roman"/>
                <w:b w:val="0"/>
                <w:bCs w:val="0"/>
                <w:sz w:val="24"/>
                <w:lang w:val="en-US"/>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296" w:type="dxa"/>
            <w:gridSpan w:val="2"/>
            <w:vAlign w:val="center"/>
          </w:tcPr>
          <w:p>
            <w:pPr>
              <w:keepNext w:val="0"/>
              <w:keepLines w:val="0"/>
              <w:suppressLineNumbers w:val="0"/>
              <w:spacing w:before="0" w:beforeAutospacing="0" w:after="200" w:afterAutospacing="0" w:line="480" w:lineRule="auto"/>
              <w:ind w:left="0" w:right="0"/>
              <w:rPr>
                <w:rFonts w:hint="eastAsia" w:ascii="Times New Roman" w:hAnsi="Times New Roman" w:cs="Times New Roman"/>
                <w:b/>
                <w:bCs/>
                <w:sz w:val="24"/>
              </w:rPr>
            </w:pPr>
            <w:r>
              <w:rPr>
                <w:rFonts w:hint="eastAsia" w:ascii="Times New Roman" w:hAnsi="Times New Roman" w:cs="Times New Roman"/>
                <w:b/>
                <w:bCs/>
                <w:sz w:val="24"/>
              </w:rPr>
              <w:t>Autonomic nerve function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830" w:type="dxa"/>
            <w:vAlign w:val="center"/>
          </w:tcPr>
          <w:p>
            <w:pPr>
              <w:keepNext w:val="0"/>
              <w:keepLines w:val="0"/>
              <w:suppressLineNumbers w:val="0"/>
              <w:spacing w:before="0" w:beforeAutospacing="0" w:after="200" w:afterAutospacing="0" w:line="480" w:lineRule="auto"/>
              <w:ind w:left="0" w:right="0"/>
              <w:jc w:val="center"/>
              <w:rPr>
                <w:rFonts w:hint="eastAsia" w:ascii="Times New Roman" w:hAnsi="Times New Roman" w:cs="Times New Roman"/>
                <w:sz w:val="24"/>
              </w:rPr>
            </w:pPr>
            <w:r>
              <w:rPr>
                <w:rFonts w:hint="eastAsia" w:ascii="Times New Roman" w:hAnsi="Times New Roman" w:cs="Times New Roman"/>
                <w:sz w:val="24"/>
              </w:rPr>
              <w:t>Heart rate variability</w:t>
            </w:r>
          </w:p>
        </w:tc>
        <w:tc>
          <w:tcPr>
            <w:tcW w:w="5466" w:type="dxa"/>
          </w:tcPr>
          <w:p>
            <w:pPr>
              <w:keepNext w:val="0"/>
              <w:keepLines w:val="0"/>
              <w:suppressLineNumbers w:val="0"/>
              <w:spacing w:before="0" w:beforeAutospacing="0" w:after="200" w:afterAutospacing="0" w:line="480" w:lineRule="auto"/>
              <w:ind w:left="0" w:right="0"/>
              <w:rPr>
                <w:rFonts w:hint="eastAsia" w:ascii="Times New Roman" w:hAnsi="Times New Roman" w:cs="Times New Roman"/>
                <w:sz w:val="24"/>
              </w:rPr>
            </w:pPr>
            <w:r>
              <w:rPr>
                <w:rFonts w:hint="eastAsia" w:ascii="Times New Roman" w:hAnsi="Times New Roman" w:cs="Times New Roman"/>
                <w:sz w:val="24"/>
              </w:rPr>
              <w:t xml:space="preserve">Within a 3-year follow-up, 614 patients with permanent AF were randomly treated by lenient rate-control ( resting heart rate &lt;110bpm) and strict rate-control (resting heart rate &lt;80bpm), and the former therapy presents the non-inferiority with the latter; the incident of MACE was 12.9% in lenient-control and 14.9% in strict-control with an absolute difference of −2.0 </w:t>
            </w:r>
            <w:r>
              <w:rPr>
                <w:rFonts w:hint="eastAsia" w:ascii="Times New Roman" w:hAnsi="Times New Roman" w:cs="Times New Roman"/>
                <w:sz w:val="24"/>
                <w:lang w:val="en-US" w:eastAsia="zh-CN"/>
              </w:rPr>
              <w:t>%</w:t>
            </w:r>
            <w:r>
              <w:rPr>
                <w:rFonts w:hint="eastAsia" w:ascii="Times New Roman" w:hAnsi="Times New Roman" w:cs="Times New Roman"/>
                <w:sz w:val="24"/>
              </w:rPr>
              <w:t xml:space="preserve"> (90% CI: −7.6 to 3.5) and a hazard ratio of 0.84 (90% CI, 0.58 to 1.21, P=0.001) </w:t>
            </w:r>
            <w:r>
              <w:rPr>
                <w:rFonts w:hint="eastAsia" w:ascii="Times New Roman" w:hAnsi="Times New Roman" w:cs="Times New Roman"/>
                <w:sz w:val="24"/>
                <w:vertAlign w:val="superscript"/>
              </w:rPr>
              <w:t>[</w:t>
            </w:r>
            <w:r>
              <w:rPr>
                <w:rFonts w:hint="default" w:ascii="Times New Roman" w:hAnsi="Times New Roman" w:cs="Times New Roman"/>
                <w:sz w:val="24"/>
                <w:vertAlign w:val="superscript"/>
                <w:lang w:val="en-US"/>
              </w:rPr>
              <w:t>4</w:t>
            </w:r>
            <w:r>
              <w:rPr>
                <w:rFonts w:hint="eastAsia" w:ascii="Times New Roman" w:hAnsi="Times New Roman" w:cs="Times New Roman"/>
                <w:sz w:val="24"/>
                <w:vertAlign w:val="superscript"/>
              </w:rPr>
              <w:t>2]</w:t>
            </w:r>
            <w:r>
              <w:rPr>
                <w:rFonts w:hint="eastAsia" w:ascii="Times New Roman" w:hAnsi="Times New Roman" w:cs="Times New Roman"/>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830" w:type="dxa"/>
            <w:vAlign w:val="center"/>
          </w:tcPr>
          <w:p>
            <w:pPr>
              <w:keepNext w:val="0"/>
              <w:keepLines w:val="0"/>
              <w:suppressLineNumbers w:val="0"/>
              <w:spacing w:before="0" w:beforeAutospacing="0" w:after="200" w:afterAutospacing="0" w:line="480" w:lineRule="auto"/>
              <w:ind w:left="0" w:right="0"/>
              <w:jc w:val="center"/>
              <w:rPr>
                <w:rFonts w:hint="eastAsia" w:ascii="Times New Roman" w:hAnsi="Times New Roman" w:cs="Times New Roman"/>
                <w:sz w:val="24"/>
              </w:rPr>
            </w:pPr>
            <w:r>
              <w:rPr>
                <w:rFonts w:hint="eastAsia" w:ascii="Times New Roman" w:hAnsi="Times New Roman" w:cs="Times New Roman"/>
                <w:sz w:val="24"/>
              </w:rPr>
              <w:t>Major depression</w:t>
            </w:r>
          </w:p>
        </w:tc>
        <w:tc>
          <w:tcPr>
            <w:tcW w:w="5466" w:type="dxa"/>
          </w:tcPr>
          <w:p>
            <w:pPr>
              <w:keepNext w:val="0"/>
              <w:keepLines w:val="0"/>
              <w:suppressLineNumbers w:val="0"/>
              <w:spacing w:before="0" w:beforeAutospacing="0" w:after="200" w:afterAutospacing="0" w:line="480" w:lineRule="auto"/>
              <w:ind w:left="0" w:right="0"/>
              <w:rPr>
                <w:rFonts w:hint="eastAsia" w:ascii="Times New Roman" w:hAnsi="Times New Roman" w:cs="Times New Roman"/>
                <w:sz w:val="24"/>
              </w:rPr>
            </w:pPr>
            <w:r>
              <w:rPr>
                <w:rFonts w:hint="eastAsia" w:ascii="Times New Roman" w:hAnsi="Times New Roman" w:cs="Times New Roman"/>
                <w:sz w:val="24"/>
              </w:rPr>
              <w:t xml:space="preserve">A study investigating 101 AF patients based on the Beck Depression Inventory, at baseline, symptoms of depression prevailed in 38%, depression (r= 0.67, P &lt; 0.001) was significantly correlated with quality of life at 6 months in the patients with AF, depression emerged as a predictor of AF patients’ quality of life (ß= 0.60, t =4.94, P &lt; 0.001) </w:t>
            </w:r>
            <w:r>
              <w:rPr>
                <w:rFonts w:hint="eastAsia" w:ascii="Times New Roman" w:hAnsi="Times New Roman" w:cs="Times New Roman"/>
                <w:sz w:val="24"/>
                <w:vertAlign w:val="superscript"/>
              </w:rPr>
              <w:t>[</w:t>
            </w:r>
            <w:r>
              <w:rPr>
                <w:rFonts w:hint="default" w:ascii="Times New Roman" w:hAnsi="Times New Roman" w:cs="Times New Roman"/>
                <w:sz w:val="24"/>
                <w:vertAlign w:val="superscript"/>
                <w:lang w:val="en-US"/>
              </w:rPr>
              <w:t>4</w:t>
            </w:r>
            <w:r>
              <w:rPr>
                <w:rFonts w:hint="eastAsia" w:ascii="Times New Roman" w:hAnsi="Times New Roman" w:cs="Times New Roman"/>
                <w:sz w:val="24"/>
                <w:vertAlign w:val="superscript"/>
                <w:lang w:val="en-US" w:eastAsia="zh-CN"/>
              </w:rPr>
              <w:t>3</w:t>
            </w:r>
            <w:r>
              <w:rPr>
                <w:rFonts w:hint="eastAsia" w:ascii="Times New Roman" w:hAnsi="Times New Roman" w:cs="Times New Roman"/>
                <w:sz w:val="24"/>
                <w:vertAlign w:val="superscript"/>
              </w:rPr>
              <w:t>]</w:t>
            </w:r>
            <w:r>
              <w:rPr>
                <w:rFonts w:hint="eastAsia" w:ascii="Times New Roman" w:hAnsi="Times New Roman" w:cs="Times New Roman"/>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830" w:type="dxa"/>
            <w:vAlign w:val="center"/>
          </w:tcPr>
          <w:p>
            <w:pPr>
              <w:keepNext w:val="0"/>
              <w:keepLines w:val="0"/>
              <w:suppressLineNumbers w:val="0"/>
              <w:spacing w:before="0" w:beforeAutospacing="0" w:after="200" w:afterAutospacing="0" w:line="480" w:lineRule="auto"/>
              <w:ind w:left="0" w:right="0"/>
              <w:jc w:val="center"/>
              <w:rPr>
                <w:rFonts w:hint="eastAsia" w:ascii="Times New Roman" w:hAnsi="Times New Roman" w:cs="Times New Roman"/>
                <w:sz w:val="24"/>
              </w:rPr>
            </w:pPr>
            <w:r>
              <w:rPr>
                <w:rFonts w:hint="eastAsia" w:ascii="Times New Roman" w:hAnsi="Times New Roman" w:cs="Times New Roman"/>
                <w:sz w:val="24"/>
              </w:rPr>
              <w:t>Sleeplessness</w:t>
            </w:r>
          </w:p>
        </w:tc>
        <w:tc>
          <w:tcPr>
            <w:tcW w:w="5466" w:type="dxa"/>
          </w:tcPr>
          <w:p>
            <w:pPr>
              <w:keepNext w:val="0"/>
              <w:keepLines w:val="0"/>
              <w:suppressLineNumbers w:val="0"/>
              <w:spacing w:before="0" w:beforeAutospacing="0" w:after="200" w:afterAutospacing="0" w:line="480" w:lineRule="auto"/>
              <w:ind w:left="0" w:right="0"/>
              <w:rPr>
                <w:rFonts w:hint="eastAsia" w:ascii="Times New Roman" w:hAnsi="Times New Roman" w:cs="Times New Roman"/>
                <w:sz w:val="24"/>
              </w:rPr>
            </w:pPr>
            <w:r>
              <w:rPr>
                <w:rFonts w:hint="eastAsia" w:ascii="Times New Roman" w:hAnsi="Times New Roman" w:cs="Times New Roman"/>
                <w:sz w:val="24"/>
              </w:rPr>
              <w:t>In a meta-analysis of 10 studies,</w:t>
            </w:r>
            <w:r>
              <w:rPr>
                <w:rFonts w:hint="eastAsia"/>
              </w:rPr>
              <w:t xml:space="preserve"> </w:t>
            </w:r>
            <w:r>
              <w:rPr>
                <w:rFonts w:hint="eastAsia" w:ascii="Times New Roman" w:hAnsi="Times New Roman" w:eastAsia="宋体" w:cs="Times New Roman"/>
                <w:sz w:val="24"/>
                <w:szCs w:val="21"/>
                <w14:ligatures w14:val="none"/>
              </w:rPr>
              <w:t>those who had insomnia carried a 1.3-fold increased risk of incident AF compared to individuals without sleeplessness</w:t>
            </w:r>
            <w:r>
              <w:rPr>
                <w:rFonts w:hint="eastAsia" w:ascii="Times New Roman" w:hAnsi="Times New Roman" w:cs="Times New Roman"/>
                <w:sz w:val="24"/>
              </w:rPr>
              <w:t xml:space="preserve">. The odds ratio for the association between AF and Sleeplessness was </w:t>
            </w:r>
            <w:r>
              <w:rPr>
                <w:rFonts w:hint="eastAsia" w:ascii="Times New Roman" w:hAnsi="Times New Roman" w:eastAsia="宋体" w:cs="Times New Roman"/>
                <w:sz w:val="24"/>
                <w:szCs w:val="21"/>
                <w14:ligatures w14:val="none"/>
              </w:rPr>
              <w:t>1.30 (95% CI, 1.26-1.35, I</w:t>
            </w:r>
            <w:r>
              <w:rPr>
                <w:rFonts w:hint="eastAsia" w:ascii="Times New Roman" w:hAnsi="Times New Roman" w:eastAsia="宋体" w:cs="Times New Roman"/>
                <w:sz w:val="24"/>
                <w:szCs w:val="21"/>
                <w:vertAlign w:val="superscript"/>
                <w14:ligatures w14:val="none"/>
              </w:rPr>
              <w:t>2</w:t>
            </w:r>
            <w:r>
              <w:rPr>
                <w:rFonts w:hint="eastAsia" w:ascii="Times New Roman" w:hAnsi="Times New Roman" w:eastAsia="宋体" w:cs="Times New Roman"/>
                <w:sz w:val="24"/>
                <w:szCs w:val="21"/>
                <w14:ligatures w14:val="none"/>
              </w:rPr>
              <w:t xml:space="preserve">=3%) </w:t>
            </w:r>
            <w:r>
              <w:rPr>
                <w:rFonts w:hint="eastAsia" w:ascii="Times New Roman" w:hAnsi="Times New Roman" w:eastAsia="宋体" w:cs="Times New Roman"/>
                <w:sz w:val="24"/>
                <w:szCs w:val="21"/>
                <w:vertAlign w:val="superscript"/>
                <w14:ligatures w14:val="none"/>
              </w:rPr>
              <w:t>[</w:t>
            </w:r>
            <w:r>
              <w:rPr>
                <w:rFonts w:hint="default" w:ascii="Times New Roman" w:hAnsi="Times New Roman" w:eastAsia="宋体" w:cs="Times New Roman"/>
                <w:sz w:val="24"/>
                <w:szCs w:val="21"/>
                <w:vertAlign w:val="superscript"/>
                <w:lang w:val="en-US"/>
                <w14:ligatures w14:val="none"/>
              </w:rPr>
              <w:t>4</w:t>
            </w:r>
            <w:r>
              <w:rPr>
                <w:rFonts w:hint="eastAsia" w:ascii="Times New Roman" w:hAnsi="Times New Roman" w:eastAsia="宋体" w:cs="Times New Roman"/>
                <w:sz w:val="24"/>
                <w:szCs w:val="21"/>
                <w:vertAlign w:val="superscript"/>
                <w:lang w:val="en-US" w:eastAsia="zh-CN"/>
                <w14:ligatures w14:val="none"/>
              </w:rPr>
              <w:t>4</w:t>
            </w:r>
            <w:r>
              <w:rPr>
                <w:rFonts w:hint="eastAsia" w:ascii="Times New Roman" w:hAnsi="Times New Roman" w:eastAsia="宋体" w:cs="Times New Roman"/>
                <w:sz w:val="24"/>
                <w:szCs w:val="21"/>
                <w:vertAlign w:val="superscript"/>
                <w14:ligatures w14:val="none"/>
              </w:rPr>
              <w:t>]</w:t>
            </w:r>
            <w:r>
              <w:rPr>
                <w:rFonts w:hint="eastAsia" w:ascii="Times New Roman" w:hAnsi="Times New Roman" w:cs="Times New Roman"/>
                <w:sz w:val="24"/>
              </w:rPr>
              <w:t>.</w:t>
            </w:r>
          </w:p>
        </w:tc>
      </w:tr>
    </w:tbl>
    <w:p>
      <w:pPr>
        <w:spacing w:line="480" w:lineRule="auto"/>
        <w:rPr>
          <w:rFonts w:ascii="Times New Roman" w:hAnsi="Times New Roman" w:cs="Times New Roman"/>
          <w:sz w:val="24"/>
        </w:rPr>
      </w:pPr>
    </w:p>
    <w:p>
      <w:pPr>
        <w:spacing w:line="480" w:lineRule="auto"/>
        <w:rPr>
          <w:rFonts w:hint="eastAsia" w:ascii="Times New Roman" w:hAnsi="Times New Roman" w:cs="Times New Roman"/>
          <w:sz w:val="24"/>
        </w:rPr>
      </w:pPr>
    </w:p>
    <w:p>
      <w:pPr>
        <w:spacing w:line="480" w:lineRule="auto"/>
        <w:rPr>
          <w:rFonts w:ascii="Times New Roman" w:hAnsi="Times New Roman" w:cs="Times New Roman"/>
          <w:sz w:val="24"/>
        </w:rPr>
      </w:pPr>
      <w:r>
        <w:rPr>
          <w:rFonts w:hint="eastAsia" w:ascii="Times New Roman" w:hAnsi="Times New Roman" w:cs="Times New Roman"/>
          <w:sz w:val="24"/>
        </w:rPr>
        <w:t>Abbreviations</w:t>
      </w:r>
      <w:r>
        <w:rPr>
          <w:rFonts w:ascii="Times New Roman" w:hAnsi="Times New Roman" w:cs="Times New Roman"/>
          <w:sz w:val="24"/>
        </w:rPr>
        <w:t>:</w:t>
      </w:r>
    </w:p>
    <w:p>
      <w:pPr>
        <w:spacing w:line="480" w:lineRule="auto"/>
        <w:rPr>
          <w:rFonts w:ascii="Times New Roman" w:hAnsi="Times New Roman" w:cs="Times New Roman"/>
          <w:sz w:val="24"/>
        </w:rPr>
      </w:pPr>
      <w:r>
        <w:rPr>
          <w:rFonts w:ascii="Times New Roman" w:hAnsi="Times New Roman" w:cs="Times New Roman"/>
          <w:sz w:val="24"/>
        </w:rPr>
        <w:t>AF, atrial fibrillation; A</w:t>
      </w:r>
      <w:r>
        <w:rPr>
          <w:rFonts w:hint="eastAsia" w:ascii="Times New Roman" w:hAnsi="Times New Roman" w:cs="Times New Roman"/>
          <w:sz w:val="24"/>
        </w:rPr>
        <w:t>ng</w:t>
      </w:r>
      <w:r>
        <w:rPr>
          <w:rFonts w:ascii="Times New Roman" w:hAnsi="Times New Roman" w:cs="Times New Roman"/>
          <w:sz w:val="24"/>
        </w:rPr>
        <w:t xml:space="preserve">, angiotensin; BNP, B-type natriuretic peptide; CABG, coronary artery bypass graft; CAMKII, calmodulin-dependent protein kinase; CI, confidence interval; </w:t>
      </w:r>
      <w:r>
        <w:rPr>
          <w:rFonts w:hint="eastAsia" w:ascii="Times New Roman" w:hAnsi="Times New Roman" w:cs="Times New Roman"/>
          <w:sz w:val="24"/>
        </w:rPr>
        <w:t>C</w:t>
      </w:r>
      <w:r>
        <w:rPr>
          <w:rFonts w:ascii="Times New Roman" w:hAnsi="Times New Roman" w:cs="Times New Roman"/>
          <w:sz w:val="24"/>
        </w:rPr>
        <w:t xml:space="preserve">RP, C-reactive protein; DBP, diastolic blood pressure; </w:t>
      </w:r>
      <w:r>
        <w:rPr>
          <w:rFonts w:hint="default" w:ascii="Times New Roman" w:hAnsi="Times New Roman" w:cs="Times New Roman"/>
          <w:sz w:val="24"/>
          <w:lang w:val="en-US"/>
        </w:rPr>
        <w:t>PG, prostaglandin</w:t>
      </w:r>
      <w:r>
        <w:rPr>
          <w:rFonts w:ascii="Times New Roman" w:hAnsi="Times New Roman" w:cs="Times New Roman"/>
          <w:sz w:val="24"/>
        </w:rPr>
        <w:t xml:space="preserve">; HDL-C, high density lipoprotein cholesterol; HR, </w:t>
      </w:r>
      <w:r>
        <w:rPr>
          <w:rFonts w:hint="eastAsia" w:ascii="Times New Roman" w:hAnsi="Times New Roman" w:cs="Times New Roman"/>
          <w:sz w:val="24"/>
        </w:rPr>
        <w:t>hazard</w:t>
      </w:r>
      <w:r>
        <w:rPr>
          <w:rFonts w:ascii="Times New Roman" w:hAnsi="Times New Roman" w:cs="Times New Roman"/>
          <w:sz w:val="24"/>
        </w:rPr>
        <w:t xml:space="preserve"> ratio; IL, </w:t>
      </w:r>
      <w:r>
        <w:rPr>
          <w:rFonts w:hint="eastAsia" w:ascii="Times New Roman" w:hAnsi="Times New Roman" w:cs="Times New Roman"/>
          <w:sz w:val="24"/>
        </w:rPr>
        <w:t>interleukin</w:t>
      </w:r>
      <w:r>
        <w:rPr>
          <w:rFonts w:ascii="Times New Roman" w:hAnsi="Times New Roman" w:cs="Times New Roman"/>
          <w:sz w:val="24"/>
        </w:rPr>
        <w:t xml:space="preserve">; IPC, ischemic preconditioning; ISH, isolated systolic hypertension; LDL-C, low density lipoprotein cholesterol; LTL, leucocyte telomere length; MACE, major </w:t>
      </w:r>
      <w:r>
        <w:rPr>
          <w:rFonts w:hint="eastAsia" w:ascii="Times New Roman" w:hAnsi="Times New Roman" w:cs="Times New Roman"/>
          <w:sz w:val="24"/>
        </w:rPr>
        <w:t>adverse</w:t>
      </w:r>
      <w:r>
        <w:rPr>
          <w:rFonts w:ascii="Times New Roman" w:hAnsi="Times New Roman" w:cs="Times New Roman"/>
          <w:sz w:val="24"/>
        </w:rPr>
        <w:t xml:space="preserve"> </w:t>
      </w:r>
      <w:r>
        <w:rPr>
          <w:rFonts w:hint="eastAsia" w:ascii="Times New Roman" w:hAnsi="Times New Roman" w:cs="Times New Roman"/>
          <w:sz w:val="24"/>
        </w:rPr>
        <w:t>cardiovascular</w:t>
      </w:r>
      <w:r>
        <w:rPr>
          <w:rFonts w:ascii="Times New Roman" w:hAnsi="Times New Roman" w:cs="Times New Roman"/>
          <w:sz w:val="24"/>
        </w:rPr>
        <w:t xml:space="preserve"> </w:t>
      </w:r>
      <w:r>
        <w:rPr>
          <w:rFonts w:hint="eastAsia" w:ascii="Times New Roman" w:hAnsi="Times New Roman" w:cs="Times New Roman"/>
          <w:sz w:val="24"/>
        </w:rPr>
        <w:t>events</w:t>
      </w:r>
      <w:r>
        <w:rPr>
          <w:rFonts w:ascii="Times New Roman" w:hAnsi="Times New Roman" w:cs="Times New Roman"/>
          <w:sz w:val="24"/>
        </w:rPr>
        <w:t xml:space="preserve">; MPA, monocyte-platelet aggregate; NVAF, </w:t>
      </w:r>
      <w:r>
        <w:rPr>
          <w:rFonts w:hint="eastAsia" w:ascii="Times New Roman" w:hAnsi="Times New Roman" w:cs="Times New Roman"/>
          <w:sz w:val="24"/>
        </w:rPr>
        <w:t>nonvalvular</w:t>
      </w:r>
      <w:r>
        <w:rPr>
          <w:rFonts w:ascii="Times New Roman" w:hAnsi="Times New Roman" w:cs="Times New Roman"/>
          <w:sz w:val="24"/>
        </w:rPr>
        <w:t xml:space="preserve"> atrial fibrillation; OR, odds ratio; </w:t>
      </w:r>
      <w:r>
        <w:rPr>
          <w:rFonts w:hint="eastAsia" w:ascii="Times New Roman" w:hAnsi="Times New Roman" w:cs="Times New Roman"/>
          <w:sz w:val="24"/>
        </w:rPr>
        <w:t>P</w:t>
      </w:r>
      <w:r>
        <w:rPr>
          <w:rFonts w:ascii="Times New Roman" w:hAnsi="Times New Roman" w:cs="Times New Roman"/>
          <w:sz w:val="24"/>
        </w:rPr>
        <w:t xml:space="preserve">LT, platelet; POAF, postoperative atrial fibrillation; RR, relative risk; SBP, systolic blood pressure; sCD40L, soluble CD40 ligand; SD, standard deviation; STB, total bilirubin; </w:t>
      </w:r>
      <w:r>
        <w:rPr>
          <w:rFonts w:hint="eastAsia" w:ascii="Times New Roman" w:hAnsi="Times New Roman" w:cs="Times New Roman"/>
          <w:sz w:val="24"/>
        </w:rPr>
        <w:t>T</w:t>
      </w:r>
      <w:r>
        <w:rPr>
          <w:rFonts w:ascii="Times New Roman" w:hAnsi="Times New Roman" w:cs="Times New Roman"/>
          <w:sz w:val="24"/>
        </w:rPr>
        <w:t xml:space="preserve">NF, tumor necrosis factor; VEGF, vascular endothelial growth factor; </w:t>
      </w:r>
      <w:r>
        <w:rPr>
          <w:rFonts w:hint="eastAsia" w:ascii="Times New Roman" w:hAnsi="Times New Roman" w:cs="Times New Roman"/>
          <w:sz w:val="24"/>
        </w:rPr>
        <w:t>W</w:t>
      </w:r>
      <w:r>
        <w:rPr>
          <w:rFonts w:ascii="Times New Roman" w:hAnsi="Times New Roman" w:cs="Times New Roman"/>
          <w:sz w:val="24"/>
        </w:rPr>
        <w:t>BC, white blood cell.</w:t>
      </w:r>
    </w:p>
    <w:p>
      <w:pPr>
        <w:spacing w:line="480" w:lineRule="auto"/>
        <w:rPr>
          <w:rFonts w:ascii="Times New Roman" w:hAnsi="Times New Roman" w:cs="Times New Roman"/>
          <w:sz w:val="24"/>
        </w:rPr>
      </w:pPr>
    </w:p>
    <w:p>
      <w:pPr>
        <w:spacing w:line="480" w:lineRule="auto"/>
        <w:rPr>
          <w:rFonts w:ascii="Times New Roman" w:hAnsi="Times New Roman" w:cs="Times New Roman"/>
          <w:sz w:val="24"/>
        </w:rPr>
      </w:pPr>
      <w:r>
        <w:rPr>
          <w:rFonts w:hint="eastAsia" w:ascii="Times New Roman" w:hAnsi="Times New Roman" w:cs="Times New Roman"/>
          <w:sz w:val="24"/>
        </w:rPr>
        <w:t>References</w:t>
      </w:r>
      <w:r>
        <w:rPr>
          <w:rFonts w:ascii="Times New Roman" w:hAnsi="Times New Roman" w:cs="Times New Roman"/>
          <w:sz w:val="24"/>
        </w:rPr>
        <w:t>:</w:t>
      </w:r>
    </w:p>
    <w:p>
      <w:pPr>
        <w:spacing w:line="480" w:lineRule="auto"/>
        <w:rPr>
          <w:rFonts w:hint="eastAsia" w:ascii="Times New Roman" w:hAnsi="Times New Roman" w:cs="Times New Roman"/>
          <w:sz w:val="24"/>
        </w:rPr>
      </w:pPr>
      <w:r>
        <w:rPr>
          <w:rFonts w:hint="eastAsia" w:ascii="Times New Roman" w:hAnsi="Times New Roman" w:cs="Times New Roman"/>
          <w:sz w:val="24"/>
        </w:rPr>
        <w:t>21. Aviles RJ, Martin DO, Apperson-Hansen C, Houghtaling PL, Rautaharju P, Kronmal RA, et al. Inflammation as a Risk Factor for Atrial Fibrillation. Circulation. 2003,108,3006–10.</w:t>
      </w:r>
    </w:p>
    <w:p>
      <w:pPr>
        <w:spacing w:line="480" w:lineRule="auto"/>
        <w:rPr>
          <w:rFonts w:hint="eastAsia" w:ascii="Times New Roman" w:hAnsi="Times New Roman" w:cs="Times New Roman"/>
          <w:sz w:val="24"/>
        </w:rPr>
      </w:pPr>
      <w:r>
        <w:rPr>
          <w:rFonts w:hint="eastAsia" w:ascii="Times New Roman" w:hAnsi="Times New Roman" w:cs="Times New Roman"/>
          <w:sz w:val="24"/>
        </w:rPr>
        <w:t>22. Zheng Y, Zhang N, Wang Y, Wang F, Li G, Tse G, et al. Association between leucocyte telomere length and the risk of atrial fibrillation: An updated systematic review and meta-analysis. Ageing Research Reviews. 2022,81,101707.</w:t>
      </w:r>
    </w:p>
    <w:p>
      <w:pPr>
        <w:spacing w:line="480" w:lineRule="auto"/>
        <w:rPr>
          <w:rFonts w:hint="eastAsia" w:ascii="Times New Roman" w:hAnsi="Times New Roman" w:cs="Times New Roman"/>
          <w:sz w:val="24"/>
        </w:rPr>
      </w:pPr>
      <w:r>
        <w:rPr>
          <w:rFonts w:hint="eastAsia" w:ascii="Times New Roman" w:hAnsi="Times New Roman" w:cs="Times New Roman"/>
          <w:sz w:val="24"/>
        </w:rPr>
        <w:t>23.Liu Q, Zhang F, Yang M, Zhong J. Increasing Level of Interleukin-1β in Epicardial Adipose Tissue Is Associated with Persistent Atrial Fibrillation. Journal of Interferon &amp; Cytokine Research. 2020,40,64–9.</w:t>
      </w:r>
    </w:p>
    <w:p>
      <w:pPr>
        <w:spacing w:line="480" w:lineRule="auto"/>
        <w:rPr>
          <w:rFonts w:hint="eastAsia" w:ascii="Times New Roman" w:hAnsi="Times New Roman" w:cs="Times New Roman"/>
          <w:sz w:val="24"/>
        </w:rPr>
      </w:pPr>
      <w:r>
        <w:rPr>
          <w:rFonts w:hint="eastAsia" w:ascii="Times New Roman" w:hAnsi="Times New Roman" w:cs="Times New Roman"/>
          <w:sz w:val="24"/>
        </w:rPr>
        <w:t>24. Aulin J, Hijazi Z, Siegbahn A, Andersson U, Alexander JH, Connolly SJ, et al. Serial measurement of interleukin‐6 and risk of mortality in anticoagulated patients with atrial fibrillation: Insights from ARISTOTLE and RE‐LY trials. Journal of Thrombosis and Haemostasis. 2020;18(9):2287–95.</w:t>
      </w:r>
    </w:p>
    <w:p>
      <w:pPr>
        <w:spacing w:line="480" w:lineRule="auto"/>
        <w:rPr>
          <w:rFonts w:hint="eastAsia" w:ascii="Times New Roman" w:hAnsi="Times New Roman" w:cs="Times New Roman"/>
          <w:sz w:val="24"/>
        </w:rPr>
      </w:pPr>
      <w:r>
        <w:rPr>
          <w:rFonts w:hint="eastAsia" w:ascii="Times New Roman" w:hAnsi="Times New Roman" w:cs="Times New Roman"/>
          <w:sz w:val="24"/>
        </w:rPr>
        <w:t>25. Fu XX, Zhao N, Dong Q, Du LL, Chen XJ, Wu QF, et al. Interleukin-17A contributes to the development of post-operative atrial fibrillation by regulating inflammation and fibrosis in rats with sterile pericarditis. International Journal of Molecular Medicine. 2015,36,83–92. doi: 10.3892/ijmm.2015.2204.s</w:t>
      </w:r>
    </w:p>
    <w:p>
      <w:pPr>
        <w:spacing w:line="480" w:lineRule="auto"/>
        <w:rPr>
          <w:rFonts w:hint="eastAsia" w:ascii="Times New Roman" w:hAnsi="Times New Roman" w:cs="Times New Roman"/>
          <w:sz w:val="24"/>
        </w:rPr>
      </w:pPr>
      <w:r>
        <w:rPr>
          <w:rFonts w:hint="eastAsia" w:ascii="Times New Roman" w:hAnsi="Times New Roman" w:cs="Times New Roman"/>
          <w:sz w:val="24"/>
        </w:rPr>
        <w:t>26. Luan Y, Guo Y, Li S, Yu B, Zhu S, Li S, et al. Interleukin-18 among atrial fibrillation patients in the absence of structural heart disease. Europace. 2010,12,1713–8.</w:t>
      </w:r>
    </w:p>
    <w:p>
      <w:pPr>
        <w:spacing w:line="480" w:lineRule="auto"/>
        <w:rPr>
          <w:rFonts w:hint="eastAsia" w:ascii="Times New Roman" w:hAnsi="Times New Roman" w:cs="Times New Roman"/>
          <w:sz w:val="24"/>
        </w:rPr>
      </w:pPr>
      <w:r>
        <w:rPr>
          <w:rFonts w:hint="eastAsia" w:ascii="Times New Roman" w:hAnsi="Times New Roman" w:cs="Times New Roman"/>
          <w:sz w:val="24"/>
        </w:rPr>
        <w:t>27. Choudhury A, Freestone B, Patel J, Lip GY. Relationship of soluble CD40 ligand to vascular endothelial growth factor, angiopoietins, and tissue factor in atrial fibrillation: a link among platelet activation, angiogenesis, and thrombosis?. Chest. 2007, 132, 1913-1919.</w:t>
      </w:r>
    </w:p>
    <w:p>
      <w:pPr>
        <w:spacing w:line="480" w:lineRule="auto"/>
        <w:rPr>
          <w:rFonts w:hint="eastAsia" w:ascii="Times New Roman" w:hAnsi="Times New Roman" w:cs="Times New Roman"/>
          <w:sz w:val="24"/>
        </w:rPr>
      </w:pPr>
      <w:r>
        <w:rPr>
          <w:rFonts w:hint="eastAsia" w:ascii="Times New Roman" w:hAnsi="Times New Roman" w:cs="Times New Roman"/>
          <w:sz w:val="24"/>
        </w:rPr>
        <w:t>28. Deng H, Xue YM, Zhan XZ, Liao HT, Guo HM, Wu SL. Role of tumor necrosis factor-alpha in the pathogenesis of atrial fibrillation. Chin Med J (Engl). 2011,124, 1976-1982.</w:t>
      </w:r>
    </w:p>
    <w:p>
      <w:pPr>
        <w:spacing w:line="480" w:lineRule="auto"/>
        <w:rPr>
          <w:rFonts w:hint="eastAsia" w:ascii="Times New Roman" w:hAnsi="Times New Roman" w:cs="Times New Roman"/>
          <w:sz w:val="24"/>
        </w:rPr>
      </w:pPr>
      <w:r>
        <w:rPr>
          <w:rFonts w:hint="eastAsia" w:ascii="Times New Roman" w:hAnsi="Times New Roman" w:cs="Times New Roman"/>
          <w:sz w:val="24"/>
        </w:rPr>
        <w:t>29. Wanahita N, Messerli FH, Bangalore S, Gami AS, Somers VK, Steinberg JS. Atrial fibrillation and obesity—results of a meta-analysis. American Heart Journal. 2008,155, 310–5.</w:t>
      </w:r>
    </w:p>
    <w:p>
      <w:pPr>
        <w:spacing w:line="480" w:lineRule="auto"/>
        <w:rPr>
          <w:rFonts w:hint="eastAsia" w:ascii="Times New Roman" w:hAnsi="Times New Roman" w:cs="Times New Roman"/>
          <w:sz w:val="24"/>
        </w:rPr>
      </w:pPr>
      <w:r>
        <w:rPr>
          <w:rFonts w:hint="eastAsia" w:ascii="Times New Roman" w:hAnsi="Times New Roman" w:cs="Times New Roman"/>
          <w:sz w:val="24"/>
        </w:rPr>
        <w:t>30. Monticone S, D’Ascenzo F, Moretti C, Williams TA, Veglio F, Gaita F, et al. Cardiovascular events and target organ damage in primary aldosteronism compared with essential hypertension: a systematic review and meta-analysis. The Lancet Diabetes &amp; Endocrinology. 2018,6,41–50.</w:t>
      </w:r>
    </w:p>
    <w:p>
      <w:pPr>
        <w:spacing w:line="480" w:lineRule="auto"/>
        <w:rPr>
          <w:rFonts w:hint="eastAsia" w:ascii="Times New Roman" w:hAnsi="Times New Roman" w:cs="Times New Roman"/>
          <w:sz w:val="24"/>
        </w:rPr>
      </w:pPr>
      <w:r>
        <w:rPr>
          <w:rFonts w:hint="eastAsia" w:ascii="Times New Roman" w:hAnsi="Times New Roman" w:cs="Times New Roman"/>
          <w:sz w:val="24"/>
        </w:rPr>
        <w:t>31. Larstorp ACK, Stokke IM, Kjeldsen SE, Hecht Olsen M, Okin PM, Devereux RB, et al. Antihypertensive therapy prevents new-onset atrial fibrillation in patients with isolated systolic hypertension: the LIFE study. Blood Pressure. 2019,28, 317–26.</w:t>
      </w:r>
    </w:p>
    <w:p>
      <w:pPr>
        <w:spacing w:line="480" w:lineRule="auto"/>
        <w:rPr>
          <w:rFonts w:hint="eastAsia" w:ascii="Times New Roman" w:hAnsi="Times New Roman" w:cs="Times New Roman"/>
          <w:sz w:val="24"/>
        </w:rPr>
      </w:pPr>
      <w:r>
        <w:rPr>
          <w:rFonts w:hint="eastAsia" w:ascii="Times New Roman" w:hAnsi="Times New Roman" w:cs="Times New Roman"/>
          <w:sz w:val="24"/>
        </w:rPr>
        <w:t>32. Conen D, Tedrow UB, Koplan BA, Glynn RJ, Buring JE, Albert CM.. Influence of Systolic and Diastolic Blood Pressure on the Risk of Incident Atrial Fibrillation in Women. Circulation. 2009,119, 2146–52.</w:t>
      </w:r>
    </w:p>
    <w:p>
      <w:pPr>
        <w:spacing w:line="480" w:lineRule="auto"/>
        <w:rPr>
          <w:rFonts w:hint="eastAsia" w:ascii="Times New Roman" w:hAnsi="Times New Roman" w:cs="Times New Roman"/>
          <w:sz w:val="24"/>
        </w:rPr>
      </w:pPr>
      <w:r>
        <w:rPr>
          <w:rFonts w:hint="eastAsia" w:ascii="Times New Roman" w:hAnsi="Times New Roman" w:cs="Times New Roman"/>
          <w:sz w:val="24"/>
        </w:rPr>
        <w:t>33. Aune D, Feng T, Schlesinger S, Janszky I, Norat T, Riboli E. Diabetes mellitus, blood glucose and the risk of atrial fibrillation: A systematic review and meta-analysis of cohort studies. Journal of Diabetes and its Complications. 2018,32, 501–11.</w:t>
      </w:r>
    </w:p>
    <w:p>
      <w:pPr>
        <w:spacing w:line="480" w:lineRule="auto"/>
        <w:rPr>
          <w:rFonts w:hint="eastAsia" w:ascii="Times New Roman" w:hAnsi="Times New Roman" w:cs="Times New Roman"/>
          <w:sz w:val="24"/>
        </w:rPr>
      </w:pPr>
      <w:r>
        <w:rPr>
          <w:rFonts w:hint="eastAsia" w:ascii="Times New Roman" w:hAnsi="Times New Roman" w:cs="Times New Roman"/>
          <w:sz w:val="24"/>
        </w:rPr>
        <w:t>34. Wang Z, Wang YJ, Liu ZY, Li Q, Kong YW, Chen YW, et al. Effect of Insulin Resistance on Recurrence after Radiofrequency Catheter Ablation in Patients with Atrial Fibrillation. Cardiovascular Drugs and Therapy. 2023, 37, 705–713. doi:10.1007/s10557-022-07317-z.</w:t>
      </w:r>
    </w:p>
    <w:p>
      <w:pPr>
        <w:spacing w:line="480" w:lineRule="auto"/>
        <w:rPr>
          <w:rFonts w:hint="eastAsia" w:ascii="Times New Roman" w:hAnsi="Times New Roman" w:cs="Times New Roman"/>
          <w:sz w:val="24"/>
        </w:rPr>
      </w:pPr>
      <w:r>
        <w:rPr>
          <w:rFonts w:hint="eastAsia" w:ascii="Times New Roman" w:hAnsi="Times New Roman" w:cs="Times New Roman"/>
          <w:sz w:val="24"/>
        </w:rPr>
        <w:t>35. Ding M, Wennberg A, Gigante B, Walldius G, Hammar N, Modig K. Lipid levels in midlife and risk of atrial fibrillation over 3 decades-Experience from the Swedish AMORIS cohort: A cohort study. PLoS Med. 2022,19,e1004044.</w:t>
      </w:r>
    </w:p>
    <w:p>
      <w:pPr>
        <w:spacing w:line="480" w:lineRule="auto"/>
        <w:rPr>
          <w:rFonts w:hint="eastAsia" w:ascii="Times New Roman" w:hAnsi="Times New Roman" w:cs="Times New Roman"/>
          <w:sz w:val="24"/>
        </w:rPr>
      </w:pPr>
      <w:r>
        <w:rPr>
          <w:rFonts w:hint="eastAsia" w:ascii="Times New Roman" w:hAnsi="Times New Roman" w:cs="Times New Roman"/>
          <w:sz w:val="24"/>
        </w:rPr>
        <w:t>36. Conen D, Wang MK, Devereaux PJ, Whitlock R, McIntyre WF, Healey JS, et al. (2021). New‐Onset Perioperative Atrial Fibrillation After Coronary Artery Bypass Grafting and Long‐Term Risk of Adverse Events: An Analysis From the CORONARY Trial. Journal of the American Heart Association, 2021, 10, e020426. doi:10.1161/JAHA.120.020426.</w:t>
      </w:r>
    </w:p>
    <w:p>
      <w:pPr>
        <w:spacing w:line="480" w:lineRule="auto"/>
        <w:rPr>
          <w:rFonts w:hint="eastAsia" w:ascii="Times New Roman" w:hAnsi="Times New Roman" w:cs="Times New Roman"/>
          <w:sz w:val="24"/>
        </w:rPr>
      </w:pPr>
      <w:r>
        <w:rPr>
          <w:rFonts w:hint="eastAsia" w:ascii="Times New Roman" w:hAnsi="Times New Roman" w:cs="Times New Roman"/>
          <w:sz w:val="24"/>
        </w:rPr>
        <w:t>37. Hu X, Yuan L, Wang H, Li C, Cai J, Hu Y, et al. Efficacy and safety of vitamin C for atrial fibrillation after cardiac surgery: A meta-analysis with trial sequential analysis of randomized controlled trials. International Journal of Surgery. 2017, 37, 58–64.</w:t>
      </w:r>
    </w:p>
    <w:p>
      <w:pPr>
        <w:spacing w:line="480" w:lineRule="auto"/>
        <w:rPr>
          <w:rFonts w:hint="eastAsia" w:ascii="Times New Roman" w:hAnsi="Times New Roman" w:cs="Times New Roman"/>
          <w:sz w:val="24"/>
        </w:rPr>
      </w:pPr>
      <w:r>
        <w:rPr>
          <w:rFonts w:hint="eastAsia" w:ascii="Times New Roman" w:hAnsi="Times New Roman" w:cs="Times New Roman"/>
          <w:sz w:val="24"/>
        </w:rPr>
        <w:t xml:space="preserve">38. Demir M, Uyan U, Melek M. The Effects of Vitamin D Deficiency on Atrial Fibrillation. Clin Appl Thromb Hemost.2014, 20, 98–103. </w:t>
      </w:r>
    </w:p>
    <w:p>
      <w:pPr>
        <w:spacing w:line="480" w:lineRule="auto"/>
        <w:rPr>
          <w:rFonts w:hint="eastAsia" w:ascii="Times New Roman" w:hAnsi="Times New Roman" w:cs="Times New Roman"/>
          <w:sz w:val="24"/>
        </w:rPr>
      </w:pPr>
      <w:r>
        <w:rPr>
          <w:rFonts w:hint="eastAsia" w:ascii="Times New Roman" w:hAnsi="Times New Roman" w:cs="Times New Roman"/>
          <w:sz w:val="24"/>
        </w:rPr>
        <w:t>39. Albert CM, Cook NR, Pester J, Moorthy MV, Ridge C, Danik JS, et al. Effect of Marine Omega-3 Fatty Acid and Vitamin D Supplementation on Incident Atrial Fibrillation: A Randomized Clinical Trial. JAMA. 2021, 325,1061.</w:t>
      </w:r>
    </w:p>
    <w:p>
      <w:pPr>
        <w:spacing w:line="480" w:lineRule="auto"/>
        <w:rPr>
          <w:rFonts w:hint="eastAsia" w:ascii="Times New Roman" w:hAnsi="Times New Roman" w:cs="Times New Roman"/>
          <w:sz w:val="24"/>
        </w:rPr>
      </w:pPr>
      <w:r>
        <w:rPr>
          <w:rFonts w:hint="eastAsia" w:ascii="Times New Roman" w:hAnsi="Times New Roman" w:cs="Times New Roman"/>
          <w:sz w:val="24"/>
        </w:rPr>
        <w:t>40. Stazi A, Scalone G, Laurito M, Milo M, Pelargonio G, Narducci M, et al. Effect of Remote Ischemic Preconditioning on Platelet Activation and Reactivity Induced by Ablation for Atrial Fibrillation. Circulation, 2014,129, 11–17</w:t>
      </w:r>
    </w:p>
    <w:p>
      <w:pPr>
        <w:spacing w:line="480" w:lineRule="auto"/>
        <w:rPr>
          <w:rFonts w:hint="eastAsia" w:ascii="Times New Roman" w:hAnsi="Times New Roman" w:cs="Times New Roman"/>
          <w:sz w:val="24"/>
        </w:rPr>
      </w:pPr>
      <w:r>
        <w:rPr>
          <w:rFonts w:hint="eastAsia" w:ascii="Times New Roman" w:hAnsi="Times New Roman" w:cs="Times New Roman"/>
          <w:sz w:val="24"/>
        </w:rPr>
        <w:t>41. Pignatelli P, Pastori D, Carnevale R, Farcomeni A, Cangemi R, Nocella C, et al. Serum NOX2 and urinary isoprostanes predict vascular events in patients with atrial fibrillation. Thromb Haemost. 2015;113(03):617–24.</w:t>
      </w:r>
    </w:p>
    <w:p>
      <w:pPr>
        <w:spacing w:line="480" w:lineRule="auto"/>
        <w:rPr>
          <w:rFonts w:hint="eastAsia" w:ascii="Times New Roman" w:hAnsi="Times New Roman" w:cs="Times New Roman"/>
          <w:sz w:val="24"/>
        </w:rPr>
      </w:pPr>
      <w:r>
        <w:rPr>
          <w:rFonts w:hint="eastAsia" w:ascii="Times New Roman" w:hAnsi="Times New Roman" w:cs="Times New Roman"/>
          <w:sz w:val="24"/>
        </w:rPr>
        <w:t>42. Van Gelder IC, Groenveld HF, Crijns HJGM, Tuininga YS, Tijssen JGP, Alings AM, et al. Lenient versus Strict Rate Control in Patients with Atrial Fibrillation. N Engl J Med. 2010, 362, 1363–73.</w:t>
      </w:r>
    </w:p>
    <w:p>
      <w:pPr>
        <w:spacing w:line="480" w:lineRule="auto"/>
        <w:rPr>
          <w:rFonts w:hint="eastAsia" w:ascii="Times New Roman" w:hAnsi="Times New Roman" w:cs="Times New Roman"/>
          <w:sz w:val="24"/>
        </w:rPr>
      </w:pPr>
      <w:r>
        <w:rPr>
          <w:rFonts w:hint="eastAsia" w:ascii="Times New Roman" w:hAnsi="Times New Roman" w:cs="Times New Roman"/>
          <w:sz w:val="24"/>
        </w:rPr>
        <w:t>43. Chokesuwattanaskul R, Thongprayoon C, Sharma K, Congrete S, Tanawuttiwat T, Cheungpasitporn W. Associations of sleep quality with incident atrial fibrillation: a meta-analysis. Intern Med J. 2018, 48,964-972.</w:t>
      </w:r>
    </w:p>
    <w:p>
      <w:pPr>
        <w:spacing w:line="480" w:lineRule="auto"/>
        <w:rPr>
          <w:rFonts w:hint="eastAsia" w:ascii="Times New Roman" w:hAnsi="Times New Roman" w:cs="Times New Roman"/>
          <w:sz w:val="24"/>
        </w:rPr>
      </w:pPr>
      <w:r>
        <w:rPr>
          <w:rFonts w:hint="eastAsia" w:ascii="Times New Roman" w:hAnsi="Times New Roman" w:cs="Times New Roman"/>
          <w:sz w:val="24"/>
        </w:rPr>
        <w:t>44. Thrall G, Lip GYH, Carroll D, Lane D. Depression, Anxiety, and Quality of Life in Patients With Atrial Fibrillation. Chest. 2007, 32, 1259–64.</w:t>
      </w:r>
    </w:p>
    <w:p>
      <w:pPr>
        <w:spacing w:line="480" w:lineRule="auto"/>
        <w:rPr>
          <w:rFonts w:hint="eastAsia" w:ascii="Times New Roman" w:hAnsi="Times New Roman" w:cs="Times New Roman"/>
          <w:sz w:val="24"/>
        </w:rPr>
      </w:pPr>
      <w:r>
        <w:rPr>
          <w:rFonts w:hint="eastAsia" w:ascii="Times New Roman" w:hAnsi="Times New Roman" w:cs="Times New Roman"/>
          <w:sz w:val="24"/>
        </w:rPr>
        <w:t>45. Zhang J, Chen Z, Pärna K, Van Zon SKR, Snieder H, Thio CHL. Mediators of the association between educational attainment and type 2 diabetes mellitus: a two-step multivariable Mendelian randomisation study. Diabetologia. 2022,65, 1364–74.</w:t>
      </w:r>
    </w:p>
    <w:p>
      <w:pPr>
        <w:spacing w:line="480" w:lineRule="auto"/>
        <w:rPr>
          <w:rFonts w:ascii="Times New Roman" w:hAnsi="Times New Roman" w:cs="Times New Roman"/>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Cambria">
    <w:altName w:val="苹方-简"/>
    <w:panose1 w:val="00000000000000000000"/>
    <w:charset w:val="86"/>
    <w:family w:val="auto"/>
    <w:pitch w:val="default"/>
    <w:sig w:usb0="00000000" w:usb1="00000000" w:usb2="00000000" w:usb3="00000000" w:csb0="00000000" w:csb1="00000000"/>
  </w:font>
  <w:font w:name="等线">
    <w:altName w:val="汉仪中等线KW"/>
    <w:panose1 w:val="02010600030101010101"/>
    <w:charset w:val="86"/>
    <w:family w:val="auto"/>
    <w:pitch w:val="default"/>
    <w:sig w:usb0="00000000" w:usb1="00000000" w:usb2="00000016" w:usb3="00000000" w:csb0="0004000F" w:csb1="00000000"/>
  </w:font>
  <w:font w:name="Times New Roman Bold">
    <w:panose1 w:val="02020603050405020304"/>
    <w:charset w:val="00"/>
    <w:family w:val="auto"/>
    <w:pitch w:val="default"/>
    <w:sig w:usb0="E0002AEF" w:usb1="C0007841" w:usb2="00000009" w:usb3="00000000" w:csb0="400001FF" w:csb1="FFFF0000"/>
  </w:font>
  <w:font w:name="Times New Roman Regular">
    <w:panose1 w:val="02020603050405020304"/>
    <w:charset w:val="00"/>
    <w:family w:val="auto"/>
    <w:pitch w:val="default"/>
    <w:sig w:usb0="E0002AEF" w:usb1="C0007841" w:usb2="00000009" w:usb3="00000000" w:csb0="400001FF" w:csb1="FFFF0000"/>
  </w:font>
  <w:font w:name="苹方-简">
    <w:panose1 w:val="020B0400000000000000"/>
    <w:charset w:val="86"/>
    <w:family w:val="auto"/>
    <w:pitch w:val="default"/>
    <w:sig w:usb0="A00002FF" w:usb1="7ACFFDFB" w:usb2="00000017" w:usb3="00000000" w:csb0="00040001" w:csb1="00000000"/>
  </w:font>
  <w:font w:name="等线">
    <w:altName w:val="汉仪中等线KW"/>
    <w:panose1 w:val="00000000000000000000"/>
    <w:charset w:val="00"/>
    <w:family w:val="auto"/>
    <w:pitch w:val="default"/>
    <w:sig w:usb0="00000000" w:usb1="00000000" w:usb2="00000000" w:usb3="00000000" w:csb0="00000000" w:csb1="00000000"/>
  </w:font>
  <w:font w:name="汉仪中等线KW">
    <w:panose1 w:val="01010104010101010101"/>
    <w:charset w:val="86"/>
    <w:family w:val="auto"/>
    <w:pitch w:val="default"/>
    <w:sig w:usb0="800002BF" w:usb1="004F7CFA" w:usb2="00000000" w:usb3="00000000" w:csb0="00040001"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汉仪书宋二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99"/>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2B71"/>
    <w:rsid w:val="00014455"/>
    <w:rsid w:val="00016C18"/>
    <w:rsid w:val="000312B6"/>
    <w:rsid w:val="0003221E"/>
    <w:rsid w:val="00036B8F"/>
    <w:rsid w:val="000435C9"/>
    <w:rsid w:val="00073CE4"/>
    <w:rsid w:val="00073FD3"/>
    <w:rsid w:val="000803B3"/>
    <w:rsid w:val="00084617"/>
    <w:rsid w:val="000851B3"/>
    <w:rsid w:val="00086875"/>
    <w:rsid w:val="000876FF"/>
    <w:rsid w:val="000950AE"/>
    <w:rsid w:val="000A0DAC"/>
    <w:rsid w:val="000A3316"/>
    <w:rsid w:val="000A558E"/>
    <w:rsid w:val="000B556E"/>
    <w:rsid w:val="000B78F8"/>
    <w:rsid w:val="000D1399"/>
    <w:rsid w:val="000D2853"/>
    <w:rsid w:val="000F237C"/>
    <w:rsid w:val="000F2F5A"/>
    <w:rsid w:val="000F7AE7"/>
    <w:rsid w:val="00100BF2"/>
    <w:rsid w:val="00110FE9"/>
    <w:rsid w:val="00122948"/>
    <w:rsid w:val="00123F36"/>
    <w:rsid w:val="00124297"/>
    <w:rsid w:val="001252E0"/>
    <w:rsid w:val="00132651"/>
    <w:rsid w:val="001368C8"/>
    <w:rsid w:val="00137D77"/>
    <w:rsid w:val="001545A6"/>
    <w:rsid w:val="00162FFA"/>
    <w:rsid w:val="001730C3"/>
    <w:rsid w:val="00182C30"/>
    <w:rsid w:val="00194B44"/>
    <w:rsid w:val="00196BA8"/>
    <w:rsid w:val="001A321B"/>
    <w:rsid w:val="001C2B5F"/>
    <w:rsid w:val="001D322D"/>
    <w:rsid w:val="001D6D6A"/>
    <w:rsid w:val="0020317A"/>
    <w:rsid w:val="00203B6A"/>
    <w:rsid w:val="00216F21"/>
    <w:rsid w:val="00224994"/>
    <w:rsid w:val="00224EEA"/>
    <w:rsid w:val="00226D63"/>
    <w:rsid w:val="00236E11"/>
    <w:rsid w:val="00253554"/>
    <w:rsid w:val="002607C9"/>
    <w:rsid w:val="00264B38"/>
    <w:rsid w:val="002A630D"/>
    <w:rsid w:val="002E0F3A"/>
    <w:rsid w:val="00303325"/>
    <w:rsid w:val="0030445E"/>
    <w:rsid w:val="00312B71"/>
    <w:rsid w:val="00357852"/>
    <w:rsid w:val="00366300"/>
    <w:rsid w:val="00374239"/>
    <w:rsid w:val="003A4BAF"/>
    <w:rsid w:val="003D2E14"/>
    <w:rsid w:val="003F2C6E"/>
    <w:rsid w:val="003F4A91"/>
    <w:rsid w:val="0040627F"/>
    <w:rsid w:val="004117AB"/>
    <w:rsid w:val="00417571"/>
    <w:rsid w:val="0044006F"/>
    <w:rsid w:val="00440EE4"/>
    <w:rsid w:val="00441DB0"/>
    <w:rsid w:val="00443298"/>
    <w:rsid w:val="00445875"/>
    <w:rsid w:val="004505B8"/>
    <w:rsid w:val="0046561E"/>
    <w:rsid w:val="00490224"/>
    <w:rsid w:val="0049482A"/>
    <w:rsid w:val="004A23C1"/>
    <w:rsid w:val="004A400B"/>
    <w:rsid w:val="004A6563"/>
    <w:rsid w:val="004D1A3E"/>
    <w:rsid w:val="004E0E4D"/>
    <w:rsid w:val="00506081"/>
    <w:rsid w:val="0051194D"/>
    <w:rsid w:val="005201A2"/>
    <w:rsid w:val="00522065"/>
    <w:rsid w:val="00535598"/>
    <w:rsid w:val="00540365"/>
    <w:rsid w:val="0054628D"/>
    <w:rsid w:val="0055014E"/>
    <w:rsid w:val="00576CD1"/>
    <w:rsid w:val="0057734E"/>
    <w:rsid w:val="00587734"/>
    <w:rsid w:val="005B74E0"/>
    <w:rsid w:val="005C0C32"/>
    <w:rsid w:val="005D0734"/>
    <w:rsid w:val="005D0B6F"/>
    <w:rsid w:val="005D33FA"/>
    <w:rsid w:val="005E2E00"/>
    <w:rsid w:val="005F28E0"/>
    <w:rsid w:val="00602099"/>
    <w:rsid w:val="00615A09"/>
    <w:rsid w:val="00620B40"/>
    <w:rsid w:val="006439E0"/>
    <w:rsid w:val="0066143C"/>
    <w:rsid w:val="00661463"/>
    <w:rsid w:val="00675569"/>
    <w:rsid w:val="00691993"/>
    <w:rsid w:val="006A3553"/>
    <w:rsid w:val="006B406D"/>
    <w:rsid w:val="006C15A8"/>
    <w:rsid w:val="006D2CEF"/>
    <w:rsid w:val="006D3B0C"/>
    <w:rsid w:val="006D5DFF"/>
    <w:rsid w:val="006E0241"/>
    <w:rsid w:val="006E22DB"/>
    <w:rsid w:val="006F70D1"/>
    <w:rsid w:val="00715F4A"/>
    <w:rsid w:val="00724D3B"/>
    <w:rsid w:val="00725A67"/>
    <w:rsid w:val="007346A3"/>
    <w:rsid w:val="00751826"/>
    <w:rsid w:val="00751F74"/>
    <w:rsid w:val="007728AB"/>
    <w:rsid w:val="00775915"/>
    <w:rsid w:val="00784B33"/>
    <w:rsid w:val="00791228"/>
    <w:rsid w:val="0079585B"/>
    <w:rsid w:val="00796D53"/>
    <w:rsid w:val="007A4C20"/>
    <w:rsid w:val="007A5B90"/>
    <w:rsid w:val="007B310E"/>
    <w:rsid w:val="007E2D20"/>
    <w:rsid w:val="008010AC"/>
    <w:rsid w:val="008031A6"/>
    <w:rsid w:val="00806F02"/>
    <w:rsid w:val="00807264"/>
    <w:rsid w:val="00823B9F"/>
    <w:rsid w:val="0082758F"/>
    <w:rsid w:val="008351CB"/>
    <w:rsid w:val="00845BA9"/>
    <w:rsid w:val="00881F5D"/>
    <w:rsid w:val="008A7F42"/>
    <w:rsid w:val="008B3798"/>
    <w:rsid w:val="008C04F6"/>
    <w:rsid w:val="008C3D1B"/>
    <w:rsid w:val="008C6483"/>
    <w:rsid w:val="008C6A5E"/>
    <w:rsid w:val="008F3642"/>
    <w:rsid w:val="008F50CA"/>
    <w:rsid w:val="008F588D"/>
    <w:rsid w:val="00917476"/>
    <w:rsid w:val="009325FE"/>
    <w:rsid w:val="00940C48"/>
    <w:rsid w:val="009544AE"/>
    <w:rsid w:val="00956119"/>
    <w:rsid w:val="00960016"/>
    <w:rsid w:val="00965A94"/>
    <w:rsid w:val="0098425B"/>
    <w:rsid w:val="00990E52"/>
    <w:rsid w:val="009A7F16"/>
    <w:rsid w:val="009B15B0"/>
    <w:rsid w:val="009B629B"/>
    <w:rsid w:val="009C16AA"/>
    <w:rsid w:val="009C48B0"/>
    <w:rsid w:val="009D0150"/>
    <w:rsid w:val="009D4040"/>
    <w:rsid w:val="009E00E3"/>
    <w:rsid w:val="009E396C"/>
    <w:rsid w:val="009F023B"/>
    <w:rsid w:val="009F52AB"/>
    <w:rsid w:val="009F640F"/>
    <w:rsid w:val="00A03B6F"/>
    <w:rsid w:val="00A07076"/>
    <w:rsid w:val="00A07821"/>
    <w:rsid w:val="00A132A2"/>
    <w:rsid w:val="00A230AC"/>
    <w:rsid w:val="00A37F1D"/>
    <w:rsid w:val="00A45420"/>
    <w:rsid w:val="00A825E1"/>
    <w:rsid w:val="00A95D8B"/>
    <w:rsid w:val="00AB2C13"/>
    <w:rsid w:val="00AB7185"/>
    <w:rsid w:val="00AC0FC8"/>
    <w:rsid w:val="00AC4F82"/>
    <w:rsid w:val="00AD1848"/>
    <w:rsid w:val="00AE636E"/>
    <w:rsid w:val="00B03DF5"/>
    <w:rsid w:val="00B23143"/>
    <w:rsid w:val="00B343B2"/>
    <w:rsid w:val="00B447DD"/>
    <w:rsid w:val="00B51E16"/>
    <w:rsid w:val="00B571C0"/>
    <w:rsid w:val="00B64F3B"/>
    <w:rsid w:val="00B70BC9"/>
    <w:rsid w:val="00B87B3D"/>
    <w:rsid w:val="00B92565"/>
    <w:rsid w:val="00B94A67"/>
    <w:rsid w:val="00B94EEA"/>
    <w:rsid w:val="00BA0CCE"/>
    <w:rsid w:val="00BB54CB"/>
    <w:rsid w:val="00BC3F35"/>
    <w:rsid w:val="00BD7A13"/>
    <w:rsid w:val="00BF56E6"/>
    <w:rsid w:val="00BF7B0F"/>
    <w:rsid w:val="00C040F2"/>
    <w:rsid w:val="00C224A8"/>
    <w:rsid w:val="00C23DAA"/>
    <w:rsid w:val="00C24E8F"/>
    <w:rsid w:val="00C26F0D"/>
    <w:rsid w:val="00C43C32"/>
    <w:rsid w:val="00C4666F"/>
    <w:rsid w:val="00C62BC7"/>
    <w:rsid w:val="00C76A77"/>
    <w:rsid w:val="00C92933"/>
    <w:rsid w:val="00C96FDD"/>
    <w:rsid w:val="00CA3CAC"/>
    <w:rsid w:val="00CB6EA9"/>
    <w:rsid w:val="00CF35D9"/>
    <w:rsid w:val="00D00E30"/>
    <w:rsid w:val="00D03D5C"/>
    <w:rsid w:val="00D123F2"/>
    <w:rsid w:val="00D12DAD"/>
    <w:rsid w:val="00D2375A"/>
    <w:rsid w:val="00D253BF"/>
    <w:rsid w:val="00D26EDC"/>
    <w:rsid w:val="00D325E6"/>
    <w:rsid w:val="00D40198"/>
    <w:rsid w:val="00D45CBB"/>
    <w:rsid w:val="00D46C69"/>
    <w:rsid w:val="00D5232A"/>
    <w:rsid w:val="00D65E0A"/>
    <w:rsid w:val="00D71077"/>
    <w:rsid w:val="00D73CE4"/>
    <w:rsid w:val="00D74447"/>
    <w:rsid w:val="00D75851"/>
    <w:rsid w:val="00D77801"/>
    <w:rsid w:val="00D803AE"/>
    <w:rsid w:val="00D841CA"/>
    <w:rsid w:val="00D92943"/>
    <w:rsid w:val="00DA54D6"/>
    <w:rsid w:val="00DA7D3C"/>
    <w:rsid w:val="00DC153C"/>
    <w:rsid w:val="00DC1E20"/>
    <w:rsid w:val="00DC23FD"/>
    <w:rsid w:val="00DD537C"/>
    <w:rsid w:val="00DF074E"/>
    <w:rsid w:val="00DF6FCB"/>
    <w:rsid w:val="00E02851"/>
    <w:rsid w:val="00E0353A"/>
    <w:rsid w:val="00E11D24"/>
    <w:rsid w:val="00E21EF8"/>
    <w:rsid w:val="00E30FDE"/>
    <w:rsid w:val="00E34D06"/>
    <w:rsid w:val="00E34DF3"/>
    <w:rsid w:val="00E4020B"/>
    <w:rsid w:val="00E55742"/>
    <w:rsid w:val="00E57585"/>
    <w:rsid w:val="00E64152"/>
    <w:rsid w:val="00E7528B"/>
    <w:rsid w:val="00E94434"/>
    <w:rsid w:val="00E96B5D"/>
    <w:rsid w:val="00EC0BB3"/>
    <w:rsid w:val="00EC6CF6"/>
    <w:rsid w:val="00EC71D1"/>
    <w:rsid w:val="00ED1156"/>
    <w:rsid w:val="00ED7CFA"/>
    <w:rsid w:val="00EE1122"/>
    <w:rsid w:val="00EF24BA"/>
    <w:rsid w:val="00F00F15"/>
    <w:rsid w:val="00F01B59"/>
    <w:rsid w:val="00F22237"/>
    <w:rsid w:val="00F24D30"/>
    <w:rsid w:val="00F355FA"/>
    <w:rsid w:val="00F40B44"/>
    <w:rsid w:val="00F46BD3"/>
    <w:rsid w:val="00F51C8D"/>
    <w:rsid w:val="00F5391F"/>
    <w:rsid w:val="00F54B46"/>
    <w:rsid w:val="00F57483"/>
    <w:rsid w:val="00F85E71"/>
    <w:rsid w:val="00FA15CC"/>
    <w:rsid w:val="00FB0DB8"/>
    <w:rsid w:val="4C87CBE1"/>
    <w:rsid w:val="FB7FD763"/>
    <w:rsid w:val="FF7FF4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mbria" w:hAnsi="Cambria" w:eastAsia="Cambr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14:ligatures w14:val="standardContextual"/>
    </w:rPr>
  </w:style>
  <w:style w:type="character" w:default="1" w:styleId="6">
    <w:name w:val="Default Paragraph Font"/>
    <w:semiHidden/>
    <w:unhideWhenUsed/>
    <w:qFormat/>
    <w:uiPriority w:val="1"/>
  </w:style>
  <w:style w:type="table" w:default="1" w:styleId="4">
    <w:name w:val="Normal Table"/>
    <w:semiHidden/>
    <w:unhideWhenUsed/>
    <w:qFormat/>
    <w:uiPriority w:val="99"/>
    <w:pPr>
      <w:keepNext w:val="0"/>
      <w:keepLines w:val="0"/>
      <w:widowControl/>
      <w:suppressLineNumbers w:val="0"/>
      <w:spacing w:before="0" w:beforeAutospacing="0" w:after="200" w:afterAutospacing="0" w:line="276" w:lineRule="auto"/>
      <w:ind w:left="0" w:right="0"/>
    </w:pPr>
    <w:rPr>
      <w:rFonts w:hint="eastAsia" w:ascii="Cambria" w:hAnsi="Cambria" w:eastAsia="Cambria" w:cs="Cambria"/>
      <w:sz w:val="22"/>
      <w:szCs w:val="22"/>
      <w:lang w:eastAsia="en-US"/>
    </w:rPr>
    <w:tblPr>
      <w:tblCellMar>
        <w:top w:w="0" w:type="dxa"/>
        <w:left w:w="108" w:type="dxa"/>
        <w:bottom w:w="0" w:type="dxa"/>
        <w:right w:w="108" w:type="dxa"/>
      </w:tblCellMar>
    </w:tblPr>
  </w:style>
  <w:style w:type="paragraph" w:styleId="2">
    <w:name w:val="footer"/>
    <w:basedOn w:val="1"/>
    <w:link w:val="11"/>
    <w:unhideWhenUsed/>
    <w:qFormat/>
    <w:uiPriority w:val="99"/>
    <w:pPr>
      <w:tabs>
        <w:tab w:val="center" w:pos="4153"/>
        <w:tab w:val="right" w:pos="8306"/>
      </w:tabs>
      <w:snapToGrid w:val="0"/>
      <w:jc w:val="left"/>
    </w:pPr>
    <w:rPr>
      <w:sz w:val="18"/>
      <w:szCs w:val="18"/>
    </w:rPr>
  </w:style>
  <w:style w:type="paragraph" w:styleId="3">
    <w:name w:val="header"/>
    <w:basedOn w:val="1"/>
    <w:link w:val="10"/>
    <w:unhideWhenUsed/>
    <w:qFormat/>
    <w:uiPriority w:val="99"/>
    <w:pPr>
      <w:tabs>
        <w:tab w:val="center" w:pos="4153"/>
        <w:tab w:val="right" w:pos="8306"/>
      </w:tabs>
      <w:snapToGrid w:val="0"/>
      <w:jc w:val="center"/>
    </w:pPr>
    <w:rPr>
      <w:sz w:val="18"/>
      <w:szCs w:val="18"/>
    </w:r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FollowedHyperlink"/>
    <w:basedOn w:val="6"/>
    <w:semiHidden/>
    <w:unhideWhenUsed/>
    <w:qFormat/>
    <w:uiPriority w:val="99"/>
    <w:rPr>
      <w:color w:val="800080"/>
      <w:u w:val="single"/>
    </w:rPr>
  </w:style>
  <w:style w:type="character" w:styleId="8">
    <w:name w:val="Hyperlink"/>
    <w:basedOn w:val="6"/>
    <w:semiHidden/>
    <w:unhideWhenUsed/>
    <w:qFormat/>
    <w:uiPriority w:val="99"/>
    <w:rPr>
      <w:color w:val="0000FF"/>
      <w:u w:val="single"/>
    </w:rPr>
  </w:style>
  <w:style w:type="character" w:styleId="9">
    <w:name w:val="Placeholder Text"/>
    <w:basedOn w:val="6"/>
    <w:semiHidden/>
    <w:qFormat/>
    <w:uiPriority w:val="99"/>
    <w:rPr>
      <w:color w:val="808080"/>
    </w:rPr>
  </w:style>
  <w:style w:type="character" w:customStyle="1" w:styleId="10">
    <w:name w:val="页眉 字符"/>
    <w:basedOn w:val="6"/>
    <w:link w:val="3"/>
    <w:qFormat/>
    <w:uiPriority w:val="99"/>
    <w:rPr>
      <w:kern w:val="2"/>
      <w:sz w:val="18"/>
      <w:szCs w:val="18"/>
      <w14:ligatures w14:val="standardContextual"/>
    </w:rPr>
  </w:style>
  <w:style w:type="character" w:customStyle="1" w:styleId="11">
    <w:name w:val="页脚 字符"/>
    <w:basedOn w:val="6"/>
    <w:link w:val="2"/>
    <w:qFormat/>
    <w:uiPriority w:val="99"/>
    <w:rPr>
      <w:kern w:val="2"/>
      <w:sz w:val="18"/>
      <w:szCs w:val="18"/>
      <w14:ligatures w14:val="standardContextual"/>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2456</Words>
  <Characters>14000</Characters>
  <Lines>116</Lines>
  <Paragraphs>32</Paragraphs>
  <TotalTime>39</TotalTime>
  <ScaleCrop>false</ScaleCrop>
  <LinksUpToDate>false</LinksUpToDate>
  <CharactersWithSpaces>16424</CharactersWithSpaces>
  <Application>WPS Office_6.2.0.8299_F1E327BC-269C-435d-A152-05C5408002CA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2023-08-11T22:30:00Z</dcterms:created>
  <dc:creator>Xiaohan Zhang</dc:creator>
  <cp:lastModifiedBy>度枪缘烤扒</cp:lastModifiedBy>
  <dcterms:modified xsi:type="dcterms:W3CDTF">2023-10-04T23:01:53Z</dcterms:modified>
  <cp:revision>823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2052-6.2.0.8299</vt:lpwstr>
  </property>
  <property fmtid="{D5CDD505-2E9C-101B-9397-08002B2CF9AE}" pid="3" name="ICV">
    <vt:lpwstr>A8261E6E5ADC4BE548120765CA2F2FF8_43</vt:lpwstr>
  </property>
</Properties>
</file>