
<file path=[Content_Types].xml><?xml version="1.0" encoding="utf-8"?>
<Types xmlns="http://schemas.openxmlformats.org/package/2006/content-types"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auto"/>
        <w:ind w:right="420" w:rightChars="200"/>
        <w:jc w:val="both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 xml:space="preserve">Table S1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 xml:space="preserve">Variables and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t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 xml:space="preserve">hreshold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v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 xml:space="preserve">alues for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 xml:space="preserve">implified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r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 xml:space="preserve">isk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a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 xml:space="preserve">ssessment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m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odel</w:t>
      </w:r>
    </w:p>
    <w:tbl>
      <w:tblPr>
        <w:tblStyle w:val="4"/>
        <w:tblW w:w="81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1"/>
        <w:gridCol w:w="2046"/>
        <w:gridCol w:w="2154"/>
        <w:gridCol w:w="21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851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Variables</w:t>
            </w:r>
          </w:p>
        </w:tc>
        <w:tc>
          <w:tcPr>
            <w:tcW w:w="2046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Low risk </w:t>
            </w:r>
          </w:p>
        </w:tc>
        <w:tc>
          <w:tcPr>
            <w:tcW w:w="215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Intermediate risk </w:t>
            </w:r>
          </w:p>
        </w:tc>
        <w:tc>
          <w:tcPr>
            <w:tcW w:w="2146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High risk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851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A：WHO FC</w:t>
            </w:r>
          </w:p>
        </w:tc>
        <w:tc>
          <w:tcPr>
            <w:tcW w:w="2046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I、II</w:t>
            </w:r>
          </w:p>
        </w:tc>
        <w:tc>
          <w:tcPr>
            <w:tcW w:w="2154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III</w:t>
            </w:r>
          </w:p>
        </w:tc>
        <w:tc>
          <w:tcPr>
            <w:tcW w:w="2146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B：6MWD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&gt;440m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165~440m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&lt;165m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C：NT-proBNP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or RAP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&lt;300ng/L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&lt;8mmHg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300-1400ng/L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8-14mmHg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&gt;1400ng/L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&gt;14mmHg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</w:trPr>
        <w:tc>
          <w:tcPr>
            <w:tcW w:w="185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D：CI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  or SvO2</w:t>
            </w:r>
          </w:p>
        </w:tc>
        <w:tc>
          <w:tcPr>
            <w:tcW w:w="2046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vertAlign w:val="superscrip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≥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2.5L/min/m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superscript"/>
                <w:lang w:val="en-US" w:eastAsia="zh-CN"/>
              </w:rPr>
              <w:t>2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superscript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&gt;65%</w:t>
            </w:r>
          </w:p>
        </w:tc>
        <w:tc>
          <w:tcPr>
            <w:tcW w:w="2154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2.0~2.4L/min/m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superscript"/>
                <w:lang w:val="en-US" w:eastAsia="zh-CN"/>
              </w:rPr>
              <w:t>2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60~65%</w:t>
            </w:r>
          </w:p>
        </w:tc>
        <w:tc>
          <w:tcPr>
            <w:tcW w:w="2146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&lt;2.0L/min/m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superscript"/>
                <w:lang w:val="en-US" w:eastAsia="zh-CN"/>
              </w:rPr>
              <w:t>2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&lt;60%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Note: Evaluation Criteria: A comprehensive analysis based on the ABCD criteria.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Abbreviations: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NT-proBNP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,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 N-terminal pro-brain natriuretic peptide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CI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,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c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ardiac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i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ndex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RAP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, r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ight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a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trial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p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ressure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6MWD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6-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m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inute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w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alk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d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istance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SvO2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, m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ixed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v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enous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o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xygen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s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aturation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2"/>
          <w:szCs w:val="2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1 mmHg = 0.133 kPa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auto"/>
        <w:jc w:val="both"/>
        <w:textAlignment w:val="auto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S2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</w:rPr>
        <w:t xml:space="preserve">  Details on sST2 variations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in patients with CTD-PAH at baseline and during 3-12 months follow-up</w:t>
      </w:r>
    </w:p>
    <w:tbl>
      <w:tblPr>
        <w:tblStyle w:val="4"/>
        <w:tblpPr w:leftFromText="180" w:rightFromText="180" w:vertAnchor="text" w:horzAnchor="page" w:tblpX="1461" w:tblpY="1"/>
        <w:tblOverlap w:val="never"/>
        <w:tblW w:w="89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1"/>
        <w:gridCol w:w="1222"/>
        <w:gridCol w:w="2018"/>
        <w:gridCol w:w="2535"/>
        <w:gridCol w:w="2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1091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960" w:lineRule="auto"/>
              <w:ind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Group</w:t>
            </w:r>
          </w:p>
        </w:tc>
        <w:tc>
          <w:tcPr>
            <w:tcW w:w="1222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Patients</w:t>
            </w:r>
          </w:p>
        </w:tc>
        <w:tc>
          <w:tcPr>
            <w:tcW w:w="2018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sST2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 at baseline</w:t>
            </w:r>
          </w:p>
        </w:tc>
        <w:tc>
          <w:tcPr>
            <w:tcW w:w="2535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sST2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 at re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-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examination </w:t>
            </w:r>
          </w:p>
        </w:tc>
        <w:tc>
          <w:tcPr>
            <w:tcW w:w="210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C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linical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  worsening event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091" w:type="dxa"/>
            <w:tcBorders>
              <w:top w:val="single" w:color="auto" w:sz="6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bookmarkStart w:id="0" w:name="OLE_LINK4"/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2"/>
                <w:vertAlign w:val="baseline"/>
                <w:lang w:val="en-US" w:eastAsia="zh-CN" w:bidi="ar-SA"/>
              </w:rPr>
              <w:t>sST2:N-N</w:t>
            </w:r>
            <w:bookmarkEnd w:id="0"/>
          </w:p>
        </w:tc>
        <w:tc>
          <w:tcPr>
            <w:tcW w:w="1222" w:type="dxa"/>
            <w:tcBorders>
              <w:top w:val="single" w:color="auto" w:sz="6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2"/>
                <w:vertAlign w:val="baseline"/>
                <w:lang w:val="en-US" w:eastAsia="zh-CN" w:bidi="ar-SA"/>
              </w:rPr>
              <w:t>23</w:t>
            </w:r>
          </w:p>
        </w:tc>
        <w:tc>
          <w:tcPr>
            <w:tcW w:w="2018" w:type="dxa"/>
            <w:tcBorders>
              <w:top w:val="single" w:color="auto" w:sz="6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2"/>
                <w:vertAlign w:val="baseline"/>
                <w:lang w:val="en-US" w:eastAsia="zh-CN" w:bidi="ar-SA"/>
              </w:rPr>
              <w:t>22.56(12.40-30.74)</w:t>
            </w:r>
          </w:p>
        </w:tc>
        <w:tc>
          <w:tcPr>
            <w:tcW w:w="2535" w:type="dxa"/>
            <w:tcBorders>
              <w:top w:val="single" w:color="auto" w:sz="6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2"/>
                <w:vertAlign w:val="baseline"/>
                <w:lang w:val="en-US" w:eastAsia="zh-CN" w:bidi="ar-SA"/>
              </w:rPr>
              <w:t>13.91(9.17-18.88)</w:t>
            </w:r>
          </w:p>
        </w:tc>
        <w:tc>
          <w:tcPr>
            <w:tcW w:w="2100" w:type="dxa"/>
            <w:tcBorders>
              <w:top w:val="single" w:color="auto" w:sz="6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2"/>
                <w:vertAlign w:val="baseline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2"/>
                <w:vertAlign w:val="baseline"/>
                <w:lang w:val="en-US" w:eastAsia="zh-CN" w:bidi="ar-SA"/>
              </w:rPr>
              <w:t>sST2:H-N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2"/>
                <w:vertAlign w:val="baseline"/>
                <w:lang w:val="en-US" w:eastAsia="zh-CN" w:bidi="ar-SA"/>
              </w:rPr>
              <w:t>13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2"/>
                <w:vertAlign w:val="baseline"/>
                <w:lang w:val="en-US" w:eastAsia="zh-CN" w:bidi="ar-SA"/>
              </w:rPr>
              <w:t>45.77(40.28-55.35)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2"/>
                <w:vertAlign w:val="baseline"/>
                <w:lang w:val="en-US" w:eastAsia="zh-CN" w:bidi="ar-SA"/>
              </w:rPr>
              <w:t>17.01(12.82-20.23)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2"/>
                <w:vertAlign w:val="baseline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right="0" w:rightChars="0"/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2"/>
                <w:vertAlign w:val="baseline"/>
                <w:lang w:val="en-US" w:eastAsia="zh-CN" w:bidi="ar-SA"/>
              </w:rPr>
              <w:t>sST2:N-H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2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2"/>
                <w:vertAlign w:val="baseline"/>
                <w:lang w:val="en-US" w:eastAsia="zh-CN" w:bidi="ar-SA"/>
              </w:rPr>
              <w:t xml:space="preserve">18.13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2"/>
                <w:vertAlign w:val="baseline"/>
                <w:lang w:val="en-US"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2"/>
                <w:vertAlign w:val="baseline"/>
                <w:lang w:val="en-US" w:eastAsia="zh-CN" w:bidi="ar-SA"/>
              </w:rPr>
              <w:t xml:space="preserve"> 9.55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2"/>
                <w:vertAlign w:val="baseline"/>
                <w:lang w:val="en-US" w:eastAsia="zh-CN" w:bidi="ar-SA"/>
              </w:rPr>
              <w:t xml:space="preserve">45.72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2"/>
                <w:vertAlign w:val="baseline"/>
                <w:lang w:val="en-US"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2"/>
                <w:vertAlign w:val="baseline"/>
                <w:lang w:val="en-US" w:eastAsia="zh-CN" w:bidi="ar-SA"/>
              </w:rPr>
              <w:t xml:space="preserve"> 13.75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2"/>
                <w:vertAlign w:val="baseline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091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right="0" w:right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2"/>
                <w:vertAlign w:val="baseline"/>
                <w:lang w:val="en-US" w:eastAsia="zh-CN" w:bidi="ar-SA"/>
              </w:rPr>
              <w:t>sST2:H-H</w:t>
            </w:r>
          </w:p>
        </w:tc>
        <w:tc>
          <w:tcPr>
            <w:tcW w:w="1222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2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2"/>
                <w:vertAlign w:val="baseline"/>
                <w:lang w:val="en-US" w:eastAsia="zh-CN" w:bidi="ar-SA"/>
              </w:rPr>
              <w:t>54.48(44.61-65.09)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2"/>
                <w:vertAlign w:val="baseline"/>
                <w:lang w:val="en-US" w:eastAsia="zh-CN" w:bidi="ar-SA"/>
              </w:rPr>
              <w:t>50.89(36.13-63.56)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2"/>
                <w:vertAlign w:val="baseline"/>
                <w:lang w:val="en-US" w:eastAsia="zh-CN" w:bidi="ar-SA"/>
              </w:rPr>
              <w:t>2</w:t>
            </w:r>
          </w:p>
        </w:tc>
      </w:tr>
    </w:tbl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="-360" w:leftChars="0" w:right="0" w:rightChars="0"/>
        <w:rPr>
          <w:rFonts w:hint="eastAsia" w:ascii="Times New Roman" w:hAnsi="Times New Roman" w:cs="Times New Roman"/>
          <w:b w:val="0"/>
          <w:bCs w:val="0"/>
          <w:kern w:val="2"/>
          <w:sz w:val="21"/>
          <w:szCs w:val="22"/>
          <w:vertAlign w:val="baseline"/>
          <w:lang w:val="en-US" w:eastAsia="zh-CN" w:bidi="ar-SA"/>
        </w:rPr>
      </w:pPr>
      <w:r>
        <w:rPr>
          <w:rFonts w:hint="eastAsia" w:ascii="Times New Roman" w:hAnsi="Times New Roman" w:cs="Times New Roman" w:eastAsiaTheme="minorEastAsia"/>
          <w:b w:val="0"/>
          <w:bCs w:val="0"/>
          <w:kern w:val="2"/>
          <w:sz w:val="21"/>
          <w:szCs w:val="22"/>
          <w:vertAlign w:val="baseline"/>
          <w:lang w:val="en-US" w:eastAsia="zh-CN" w:bidi="ar-SA"/>
        </w:rPr>
        <w:t>sST2: N-N (sST2 steady &lt; 35 ng/mL)</w:t>
      </w:r>
      <w:r>
        <w:rPr>
          <w:rFonts w:hint="eastAsia" w:ascii="Times New Roman" w:hAnsi="Times New Roman" w:cs="Times New Roman"/>
          <w:b w:val="0"/>
          <w:bCs w:val="0"/>
          <w:kern w:val="2"/>
          <w:sz w:val="21"/>
          <w:szCs w:val="22"/>
          <w:vertAlign w:val="baseline"/>
          <w:lang w:val="en-US" w:eastAsia="zh-CN" w:bidi="ar-SA"/>
        </w:rPr>
        <w:t xml:space="preserve">, </w:t>
      </w:r>
      <w:r>
        <w:rPr>
          <w:rFonts w:hint="eastAsia" w:ascii="Times New Roman" w:hAnsi="Times New Roman" w:cs="Times New Roman" w:eastAsiaTheme="minorEastAsia"/>
          <w:b w:val="0"/>
          <w:bCs w:val="0"/>
          <w:kern w:val="2"/>
          <w:sz w:val="21"/>
          <w:szCs w:val="22"/>
          <w:vertAlign w:val="baseline"/>
          <w:lang w:val="en-US" w:eastAsia="zh-CN" w:bidi="ar-SA"/>
        </w:rPr>
        <w:t xml:space="preserve">sST2: H-N (sST2 </w:t>
      </w:r>
      <w:r>
        <w:rPr>
          <w:rFonts w:hint="default" w:ascii="Times New Roman" w:hAnsi="Times New Roman" w:cs="Times New Roman" w:eastAsiaTheme="minorEastAsia"/>
          <w:b w:val="0"/>
          <w:bCs w:val="0"/>
          <w:kern w:val="2"/>
          <w:sz w:val="21"/>
          <w:szCs w:val="22"/>
          <w:vertAlign w:val="baseline"/>
          <w:lang w:val="en-US" w:eastAsia="zh-CN" w:bidi="ar-SA"/>
        </w:rPr>
        <w:t>≥</w:t>
      </w:r>
      <w:r>
        <w:rPr>
          <w:rFonts w:hint="eastAsia" w:ascii="Times New Roman" w:hAnsi="Times New Roman" w:cs="Times New Roman" w:eastAsiaTheme="minorEastAsia"/>
          <w:b w:val="0"/>
          <w:bCs w:val="0"/>
          <w:kern w:val="2"/>
          <w:sz w:val="21"/>
          <w:szCs w:val="22"/>
          <w:vertAlign w:val="baseline"/>
          <w:lang w:val="en-US" w:eastAsia="zh-CN" w:bidi="ar-SA"/>
        </w:rPr>
        <w:t xml:space="preserve"> 35 ng/mL decreased &lt; 35 ng/mL)</w:t>
      </w:r>
      <w:r>
        <w:rPr>
          <w:rFonts w:hint="eastAsia" w:ascii="Times New Roman" w:hAnsi="Times New Roman" w:cs="Times New Roman"/>
          <w:b w:val="0"/>
          <w:bCs w:val="0"/>
          <w:kern w:val="2"/>
          <w:sz w:val="21"/>
          <w:szCs w:val="22"/>
          <w:vertAlign w:val="baseline"/>
          <w:lang w:val="en-US" w:eastAsia="zh-CN" w:bidi="ar-SA"/>
        </w:rPr>
        <w:t xml:space="preserve">, sST2: N-H (sST2 &lt; 35 ng/mL increased 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1"/>
          <w:szCs w:val="22"/>
          <w:vertAlign w:val="baseline"/>
          <w:lang w:val="en-US" w:eastAsia="zh-CN" w:bidi="ar-SA"/>
        </w:rPr>
        <w:t>≥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szCs w:val="22"/>
          <w:vertAlign w:val="baseline"/>
          <w:lang w:val="en-US" w:eastAsia="zh-CN" w:bidi="ar-SA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kern w:val="2"/>
          <w:sz w:val="21"/>
          <w:szCs w:val="22"/>
          <w:vertAlign w:val="baseline"/>
          <w:lang w:val="en-US" w:eastAsia="zh-CN" w:bidi="ar-SA"/>
        </w:rPr>
        <w:t xml:space="preserve">35 ng/mL), sST2: H-H (sST2 steady </w:t>
      </w:r>
      <w:r>
        <w:rPr>
          <w:rFonts w:hint="default" w:ascii="Times New Roman" w:hAnsi="Times New Roman" w:cs="Times New Roman"/>
          <w:b w:val="0"/>
          <w:bCs w:val="0"/>
          <w:kern w:val="2"/>
          <w:sz w:val="21"/>
          <w:szCs w:val="22"/>
          <w:vertAlign w:val="baseline"/>
          <w:lang w:val="en-US" w:eastAsia="zh-CN" w:bidi="ar-SA"/>
        </w:rPr>
        <w:t>≥</w:t>
      </w:r>
      <w:r>
        <w:rPr>
          <w:rFonts w:hint="eastAsia" w:ascii="Times New Roman" w:hAnsi="Times New Roman" w:cs="Times New Roman"/>
          <w:b w:val="0"/>
          <w:bCs w:val="0"/>
          <w:kern w:val="2"/>
          <w:sz w:val="21"/>
          <w:szCs w:val="22"/>
          <w:vertAlign w:val="baseline"/>
          <w:lang w:val="en-US" w:eastAsia="zh-CN" w:bidi="ar-SA"/>
        </w:rPr>
        <w:t xml:space="preserve"> 35 ng/mL)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="-360" w:leftChars="0" w:right="0" w:rightChars="0"/>
        <w:rPr>
          <w:rFonts w:hint="default" w:ascii="Times New Roman" w:hAnsi="Times New Roman" w:cs="Times New Roman"/>
          <w:b w:val="0"/>
          <w:bCs w:val="0"/>
          <w:kern w:val="2"/>
          <w:sz w:val="21"/>
          <w:szCs w:val="22"/>
          <w:vertAlign w:val="baseli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auto"/>
        <w:jc w:val="center"/>
        <w:textAlignment w:val="auto"/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auto"/>
        <w:jc w:val="center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 xml:space="preserve">Figure S1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 Flow diagram of exclusion and enrollment of study patients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inline distT="0" distB="0" distL="114300" distR="114300">
            <wp:extent cx="5272405" cy="5375910"/>
            <wp:effectExtent l="0" t="0" r="635" b="381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37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sz w:val="22"/>
          <w:szCs w:val="22"/>
        </w:rPr>
        <w:t>Abbreviations: CTD,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hint="eastAsia" w:ascii="Times New Roman" w:hAnsi="Times New Roman" w:cs="Times New Roman"/>
          <w:sz w:val="22"/>
          <w:szCs w:val="22"/>
        </w:rPr>
        <w:t>connective tissue disease;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PAH, </w:t>
      </w:r>
      <w:r>
        <w:rPr>
          <w:rFonts w:hint="eastAsia" w:ascii="Times New Roman" w:hAnsi="Times New Roman" w:cs="Times New Roman"/>
          <w:sz w:val="22"/>
          <w:szCs w:val="22"/>
        </w:rPr>
        <w:t>pulmonary arterial hypertension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; RHC, </w:t>
      </w:r>
      <w:r>
        <w:rPr>
          <w:rFonts w:hint="eastAsia" w:ascii="Times New Roman" w:hAnsi="Times New Roman" w:cs="Times New Roman"/>
          <w:sz w:val="22"/>
          <w:szCs w:val="22"/>
        </w:rPr>
        <w:t>right heart catheterization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sz w:val="22"/>
          <w:szCs w:val="22"/>
        </w:rPr>
        <w:t>sST2, soluble suppression of tumorigenicity 2;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ILD, </w:t>
      </w:r>
      <w:r>
        <w:rPr>
          <w:rFonts w:hint="eastAsia" w:ascii="Times New Roman" w:hAnsi="Times New Roman" w:cs="Times New Roman"/>
          <w:sz w:val="22"/>
          <w:szCs w:val="22"/>
        </w:rPr>
        <w:t>interstitial lung disease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.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Figure S2 Kaplan-Meier curves for overall CTD-PAH patients</w:t>
      </w:r>
    </w:p>
    <w:p>
      <w:pPr>
        <w:rPr>
          <w:rFonts w:hint="eastAsia" w:ascii="Times New Roman" w:hAnsi="Times New Roman" w:eastAsia="宋体"/>
          <w:b w:val="0"/>
          <w:bCs w:val="0"/>
          <w:sz w:val="18"/>
          <w:szCs w:val="1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宋体"/>
          <w:b w:val="0"/>
          <w:bCs w:val="0"/>
          <w:sz w:val="18"/>
          <w:szCs w:val="18"/>
          <w:lang w:val="en-US" w:eastAsia="zh-CN"/>
        </w:rPr>
        <w:drawing>
          <wp:inline distT="0" distB="0" distL="114300" distR="114300">
            <wp:extent cx="4516755" cy="3528060"/>
            <wp:effectExtent l="0" t="0" r="4445" b="2540"/>
            <wp:docPr id="1" name="图片 1" descr="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16755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auto"/>
        <w:jc w:val="left"/>
        <w:textAlignment w:val="auto"/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Figure S3 Kaplan-Meier curves for intermediate risk CTD-PAH patients with different sST2 levels</w:t>
      </w:r>
    </w:p>
    <w:p>
      <w:pPr>
        <w:rPr>
          <w:rFonts w:hint="eastAsia" w:ascii="Times New Roman" w:hAnsi="Times New Roman" w:eastAsia="宋体"/>
          <w:b w:val="0"/>
          <w:bCs w:val="0"/>
          <w:sz w:val="18"/>
          <w:szCs w:val="18"/>
          <w:lang w:val="en-US" w:eastAsia="zh-CN"/>
        </w:rPr>
      </w:pPr>
    </w:p>
    <w:p>
      <w:pPr>
        <w:rPr>
          <w:rFonts w:hint="eastAsia" w:ascii="Times New Roman" w:hAnsi="Times New Roman" w:eastAsia="宋体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Times New Roman" w:hAnsi="Times New Roman" w:eastAsia="宋体"/>
          <w:b w:val="0"/>
          <w:bCs w:val="0"/>
          <w:sz w:val="18"/>
          <w:szCs w:val="18"/>
          <w:lang w:val="en-US" w:eastAsia="zh-CN"/>
        </w:rPr>
        <w:drawing>
          <wp:inline distT="0" distB="0" distL="114300" distR="114300">
            <wp:extent cx="4516755" cy="3528060"/>
            <wp:effectExtent l="0" t="0" r="9525" b="7620"/>
            <wp:docPr id="4" name="图片 4" descr="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 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16755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/>
          <w:b/>
          <w:bCs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Figure S4 Comparative analysis of sST2 levels in CTD-PAH patients at low and intermediate risk, with and without clinical worsening event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drawing>
          <wp:inline distT="0" distB="0" distL="114300" distR="114300">
            <wp:extent cx="4517390" cy="3528060"/>
            <wp:effectExtent l="0" t="0" r="8890" b="7620"/>
            <wp:docPr id="3" name="图片 3" descr="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17390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/>
          <w:b/>
          <w:bCs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/>
          <w:b/>
          <w:bCs/>
          <w:sz w:val="24"/>
          <w:szCs w:val="24"/>
          <w:lang w:val="en-US" w:eastAsia="zh-CN"/>
        </w:rPr>
        <w:t>Figure legends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 xml:space="preserve">Figure S1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 Flow diagram of exclusion and enrollment of study patients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  <w:t xml:space="preserve">Figure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  <w:t xml:space="preserve">1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  <w:t>describes the exclusion and enrollment of study patients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Figure S2 Kaplan-Meier curves for overall CTD-PAH patients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  <w:t>Kaplan-Meier survival curves of the overall CTD-PAH cohort.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Figure S3 Kaplan-Meier curves for intermediate risk CTD-PAH patients with different sST2 levels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  <w:t>Kaplan-Meier analysis showed significant differences in the prognosis between the  intermediate risk CTD-PAH patients with sST2&lt;35 ng/mL and sST2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  <w:t>≥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  <w:t>35 ng/mL.</w:t>
      </w:r>
    </w:p>
    <w:p>
      <w:pPr>
        <w:pStyle w:val="2"/>
        <w:widowControl/>
        <w:spacing w:beforeAutospacing="0" w:afterAutospacing="0" w:line="360" w:lineRule="auto"/>
        <w:jc w:val="both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bookmarkStart w:id="1" w:name="_GoBack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Figure S4 Comparative analysis of sST2 levels in CTD-PAH patients at low and intermediate risk, with and without clinical worsening event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  <w:t>There were significantly different serum sST2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  <w:t>levels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  <w:t>among patients 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at low and intermediate risk, with and without clinical worsening event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  <w:t>[</w:t>
      </w:r>
      <w:r>
        <w:rPr>
          <w:rFonts w:hint="eastAsia" w:ascii="Times New Roman" w:hAnsi="Times New Roman" w:eastAsia="宋体" w:cstheme="minorBidi"/>
          <w:b w:val="0"/>
          <w:bCs w:val="0"/>
          <w:kern w:val="2"/>
          <w:sz w:val="24"/>
          <w:szCs w:val="24"/>
          <w:lang w:val="en-US" w:eastAsia="zh-CN" w:bidi="ar-SA"/>
        </w:rPr>
        <w:t>50.51(37.20-65.81)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  <w:t>vs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  <w:t xml:space="preserve"> </w:t>
      </w:r>
      <w:r>
        <w:rPr>
          <w:rFonts w:hint="eastAsia" w:ascii="Times New Roman" w:hAnsi="Times New Roman" w:eastAsia="宋体" w:cstheme="minorBidi"/>
          <w:b w:val="0"/>
          <w:bCs w:val="0"/>
          <w:kern w:val="2"/>
          <w:sz w:val="24"/>
          <w:szCs w:val="24"/>
          <w:lang w:val="en-US" w:eastAsia="zh-CN" w:bidi="ar-SA"/>
        </w:rPr>
        <w:t>30.74(17.89-42.10)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  <w:t xml:space="preserve">ng/mL, 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  <w:t>P=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  <w:t>0.005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  <w:t>]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</w:p>
    <w:p>
      <w:pPr>
        <w:rPr>
          <w:rFonts w:hint="eastAsia" w:ascii="Times New Roman" w:hAnsi="Times New Roman" w:eastAsia="宋体"/>
          <w:b w:val="0"/>
          <w:bCs w:val="0"/>
          <w:sz w:val="18"/>
          <w:szCs w:val="1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wNWYyZjYxNmZkMDVlMzZlZGRhMmNjODljNzA1NTgifQ=="/>
  </w:docVars>
  <w:rsids>
    <w:rsidRoot w:val="3C95163C"/>
    <w:rsid w:val="0B6F6320"/>
    <w:rsid w:val="15021728"/>
    <w:rsid w:val="1A012236"/>
    <w:rsid w:val="290D0D2C"/>
    <w:rsid w:val="2E746D65"/>
    <w:rsid w:val="3C95163C"/>
    <w:rsid w:val="4600629D"/>
    <w:rsid w:val="50166F45"/>
    <w:rsid w:val="52174AA4"/>
    <w:rsid w:val="61136C05"/>
    <w:rsid w:val="65675B08"/>
    <w:rsid w:val="6FCD4149"/>
    <w:rsid w:val="7395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2023-10-07T05:49:00Z</dcterms:created>
  <dc:creator>孙晓萱</dc:creator>
  <cp:lastModifiedBy>孙晓萱</cp:lastModifiedBy>
  <dcterms:modified xsi:type="dcterms:W3CDTF">2023-11-15T11:10:19Z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FDFE7F0D0FA8402F8932B61725169E51_13</vt:lpwstr>
  </property>
</Properties>
</file>