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cs="Times New Roman" w:eastAsiaTheme="minorEastAsia"/>
          <w:b/>
          <w:bCs/>
          <w:kern w:val="2"/>
          <w:sz w:val="32"/>
          <w:szCs w:val="32"/>
          <w:lang w:val="en-US" w:eastAsia="zh-CN" w:bidi="ar-SA"/>
        </w:rPr>
      </w:pPr>
      <w:bookmarkStart w:id="0" w:name="_GoBack"/>
      <w:bookmarkEnd w:id="0"/>
      <w:r>
        <w:rPr>
          <w:rFonts w:hint="eastAsia" w:ascii="Times New Roman" w:hAnsi="Times New Roman" w:cs="Times New Roman" w:eastAsiaTheme="minorEastAsia"/>
          <w:b/>
          <w:bCs/>
          <w:kern w:val="2"/>
          <w:sz w:val="32"/>
          <w:szCs w:val="32"/>
          <w:lang w:val="en-US" w:eastAsia="zh-CN" w:bidi="ar-SA"/>
        </w:rPr>
        <w:t>Highlight Box</w:t>
      </w:r>
    </w:p>
    <w:p>
      <w:pPr>
        <w:jc w:val="both"/>
        <w:rPr>
          <w:rFonts w:hint="eastAsia" w:ascii="Times New Roman" w:hAnsi="Times New Roman" w:cs="Times New Roman"/>
          <w:b/>
          <w:bCs/>
          <w:kern w:val="2"/>
          <w:sz w:val="32"/>
          <w:szCs w:val="32"/>
          <w:lang w:val="en-US" w:eastAsia="zh-CN" w:bidi="ar-SA"/>
        </w:rPr>
      </w:pPr>
      <w:r>
        <w:rPr>
          <w:rFonts w:hint="eastAsia" w:ascii="Times New Roman" w:hAnsi="Times New Roman" w:cs="Times New Roman"/>
          <w:b/>
          <w:bCs/>
          <w:kern w:val="2"/>
          <w:sz w:val="32"/>
          <w:szCs w:val="32"/>
          <w:lang w:val="en-US" w:eastAsia="zh-CN" w:bidi="ar-SA"/>
        </w:rPr>
        <w:t>Key findings:</w:t>
      </w:r>
    </w:p>
    <w:p>
      <w:pPr>
        <w:keepNext w:val="0"/>
        <w:keepLines w:val="0"/>
        <w:widowControl/>
        <w:suppressLineNumbers w:val="0"/>
        <w:jc w:val="left"/>
        <w:rPr>
          <w:rFonts w:hint="eastAsia" w:ascii="Times New Roman" w:hAnsi="Times New Roman" w:cs="Times New Roman"/>
          <w:b w:val="0"/>
          <w:bCs w:val="0"/>
          <w:sz w:val="24"/>
          <w:szCs w:val="24"/>
          <w:lang w:val="en-US" w:eastAsia="zh-CN"/>
        </w:rPr>
      </w:pPr>
      <w:r>
        <w:rPr>
          <w:rFonts w:hint="eastAsia" w:ascii="Times New Roman" w:hAnsi="Times New Roman" w:cs="Times New Roman"/>
          <w:sz w:val="24"/>
          <w:lang w:val="en-US" w:eastAsia="zh-CN"/>
        </w:rPr>
        <w:t>To our knowledge, this is the first reported case of VTE recurrence in a patient continuing Osimertinib after receiving Osimertinib combined anticoagulant therapy.</w:t>
      </w:r>
    </w:p>
    <w:p>
      <w:pPr>
        <w:jc w:val="both"/>
        <w:rPr>
          <w:rFonts w:hint="eastAsia" w:ascii="Times New Roman" w:hAnsi="Times New Roman" w:cs="Times New Roman"/>
          <w:b/>
          <w:bCs/>
          <w:kern w:val="2"/>
          <w:sz w:val="32"/>
          <w:szCs w:val="32"/>
          <w:lang w:val="en-US" w:eastAsia="zh-CN" w:bidi="ar-SA"/>
        </w:rPr>
      </w:pPr>
      <w:r>
        <w:rPr>
          <w:rFonts w:hint="eastAsia" w:ascii="Times New Roman" w:hAnsi="Times New Roman" w:cs="Times New Roman"/>
          <w:b/>
          <w:bCs/>
          <w:kern w:val="2"/>
          <w:sz w:val="32"/>
          <w:szCs w:val="32"/>
          <w:lang w:val="en-US" w:eastAsia="zh-CN" w:bidi="ar-SA"/>
        </w:rPr>
        <w:t>What is known and what is new?</w:t>
      </w:r>
    </w:p>
    <w:p>
      <w:pPr>
        <w:jc w:val="both"/>
        <w:rPr>
          <w:rFonts w:hint="eastAsia" w:ascii="Times New Roman" w:hAnsi="Times New Roman" w:eastAsia="宋体" w:cs="Times New Roman"/>
          <w:b w:val="0"/>
          <w:bCs/>
          <w:color w:val="000000"/>
          <w:kern w:val="0"/>
          <w:sz w:val="24"/>
          <w:lang w:val="en-US" w:eastAsia="zh-CN" w:bidi="ar"/>
        </w:rPr>
      </w:pPr>
      <w:r>
        <w:rPr>
          <w:rFonts w:hint="eastAsia" w:ascii="Times New Roman" w:hAnsi="Times New Roman" w:cs="Times New Roman"/>
          <w:b w:val="0"/>
          <w:bCs w:val="0"/>
          <w:sz w:val="24"/>
          <w:szCs w:val="24"/>
          <w:lang w:val="en-US" w:eastAsia="zh-CN"/>
        </w:rPr>
        <w:t xml:space="preserve">In recent years, some studies have suggested that Osimertinib may carry a higher risk of developing venous thromboembolism (VTE) in the real world. There have been some related cases of Osimertinib inducing thrombus formation, although the underlying mechanisms remain unclear. </w:t>
      </w:r>
      <w:r>
        <w:rPr>
          <w:rFonts w:hint="eastAsia" w:ascii="Times New Roman" w:hAnsi="Times New Roman" w:eastAsia="宋体" w:cs="Times New Roman"/>
          <w:b w:val="0"/>
          <w:bCs/>
          <w:color w:val="000000"/>
          <w:kern w:val="0"/>
          <w:sz w:val="24"/>
          <w:lang w:val="en-US" w:eastAsia="zh-CN" w:bidi="ar"/>
        </w:rPr>
        <w:t>In this case, the patient faced two major complications of cancer, namely, bleeding risk and recurrent VTE，and that there are few cases of VTE recurrence after the application of osimitinib and anticoagulation, and treatment was challenging.</w:t>
      </w:r>
    </w:p>
    <w:p>
      <w:pPr>
        <w:jc w:val="both"/>
        <w:rPr>
          <w:rFonts w:hint="default" w:ascii="Times New Roman" w:hAnsi="Times New Roman" w:cs="Times New Roman"/>
          <w:b/>
          <w:bCs/>
          <w:kern w:val="2"/>
          <w:sz w:val="32"/>
          <w:szCs w:val="32"/>
          <w:lang w:val="en-US" w:eastAsia="zh-CN" w:bidi="ar-SA"/>
        </w:rPr>
      </w:pPr>
      <w:r>
        <w:rPr>
          <w:rFonts w:hint="default" w:ascii="Times New Roman" w:hAnsi="Times New Roman" w:cs="Times New Roman"/>
          <w:b/>
          <w:bCs/>
          <w:kern w:val="2"/>
          <w:sz w:val="32"/>
          <w:szCs w:val="32"/>
          <w:lang w:val="en-US" w:eastAsia="zh-CN" w:bidi="ar-SA"/>
        </w:rPr>
        <w:t>What is the implication, and what should change now?</w:t>
      </w:r>
    </w:p>
    <w:p>
      <w:pPr>
        <w:keepNext w:val="0"/>
        <w:keepLines w:val="0"/>
        <w:widowControl/>
        <w:suppressLineNumbers w:val="0"/>
        <w:jc w:val="left"/>
        <w:rPr>
          <w:rFonts w:hint="eastAsia" w:ascii="Times New Roman" w:hAnsi="Times New Roman" w:eastAsia="宋体" w:cs="Times New Roman"/>
          <w:b w:val="0"/>
          <w:bCs/>
          <w:color w:val="000000"/>
          <w:kern w:val="0"/>
          <w:sz w:val="24"/>
          <w:lang w:val="en-US" w:eastAsia="zh-CN" w:bidi="ar"/>
        </w:rPr>
      </w:pPr>
      <w:r>
        <w:rPr>
          <w:rFonts w:hint="eastAsia" w:ascii="Times New Roman" w:hAnsi="Times New Roman" w:eastAsia="宋体" w:cs="Times New Roman"/>
          <w:b w:val="0"/>
          <w:bCs/>
          <w:color w:val="000000"/>
          <w:kern w:val="0"/>
          <w:sz w:val="24"/>
          <w:lang w:val="en-US" w:eastAsia="zh-CN" w:bidi="ar"/>
        </w:rPr>
        <w:t>It</w:t>
      </w:r>
      <w:r>
        <w:rPr>
          <w:rFonts w:hint="default" w:ascii="Times New Roman" w:hAnsi="Times New Roman" w:eastAsia="宋体" w:cs="Times New Roman"/>
          <w:b w:val="0"/>
          <w:bCs/>
          <w:color w:val="000000"/>
          <w:kern w:val="0"/>
          <w:sz w:val="24"/>
          <w:lang w:val="en-US" w:eastAsia="zh-CN" w:bidi="ar"/>
        </w:rPr>
        <w:t>’</w:t>
      </w:r>
      <w:r>
        <w:rPr>
          <w:rFonts w:hint="eastAsia" w:ascii="Times New Roman" w:hAnsi="Times New Roman" w:eastAsia="宋体" w:cs="Times New Roman"/>
          <w:b w:val="0"/>
          <w:bCs/>
          <w:color w:val="000000"/>
          <w:kern w:val="0"/>
          <w:sz w:val="24"/>
          <w:lang w:val="en-US" w:eastAsia="zh-CN" w:bidi="ar"/>
        </w:rPr>
        <w:t>s necessary to highligh the importance for clinicians to consider bleeding risk, cancer type, and drug interactions when devising anticoagulation strategies for cancer patients. It is crucial to actively adjust treatment plans based on the patient's condition and changes over time. Clinicians should also remain vigilant for the occurrence and recurrence of VTE during the application of Osimertinib, aiming for early detection and intervention to improve the ultimate outcome for the patient.</w:t>
      </w:r>
    </w:p>
    <w:p>
      <w:pPr>
        <w:jc w:val="both"/>
        <w:rPr>
          <w:rFonts w:hint="default" w:ascii="Times New Roman" w:hAnsi="Times New Roman" w:cs="Times New Roman"/>
          <w:b/>
          <w:bCs/>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hYWRkOGRmNjA5ODc0ODZiZTk3MzUxYzg3OTdiNWUifQ=="/>
  </w:docVars>
  <w:rsids>
    <w:rsidRoot w:val="547B1FD9"/>
    <w:rsid w:val="20266939"/>
    <w:rsid w:val="547B1F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2024-01-05T15:26:00Z</dcterms:created>
  <dc:creator>avan</dc:creator>
  <cp:lastModifiedBy>avan</cp:lastModifiedBy>
  <dcterms:modified xsi:type="dcterms:W3CDTF">2024-01-20T05:11:17Z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49CD629D69E344349231C8E941915BAA_13</vt:lpwstr>
  </property>
</Properties>
</file>