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6C927" w14:textId="77777777" w:rsidR="006B6726" w:rsidRDefault="006B6726" w:rsidP="006B6726">
      <w:pPr>
        <w:pStyle w:val="Heading1"/>
        <w:rPr>
          <w:b/>
          <w:bCs/>
          <w:color w:val="auto"/>
          <w:sz w:val="22"/>
          <w:szCs w:val="22"/>
          <w:lang w:val="en-US"/>
        </w:rPr>
      </w:pPr>
      <w:r>
        <w:rPr>
          <w:b/>
          <w:bCs/>
          <w:color w:val="auto"/>
          <w:sz w:val="22"/>
          <w:szCs w:val="22"/>
          <w:lang w:val="en-US"/>
        </w:rPr>
        <w:t>Supplementary Information (SI)</w:t>
      </w:r>
    </w:p>
    <w:p w14:paraId="6B6F8E3E" w14:textId="7AD630DC" w:rsidR="006B6726" w:rsidRDefault="006B6726" w:rsidP="006B6726">
      <w:pPr>
        <w:rPr>
          <w:lang w:val="en-US"/>
        </w:rPr>
      </w:pPr>
      <w:r>
        <w:rPr>
          <w:noProof/>
          <w:lang w:val="en-US"/>
        </w:rPr>
        <w:drawing>
          <wp:inline distT="0" distB="0" distL="0" distR="0" wp14:anchorId="76D1F3CA" wp14:editId="08D1FCA6">
            <wp:extent cx="3764280" cy="6780530"/>
            <wp:effectExtent l="0" t="0" r="7620" b="1270"/>
            <wp:docPr id="11321395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64280" cy="6780530"/>
                    </a:xfrm>
                    <a:prstGeom prst="rect">
                      <a:avLst/>
                    </a:prstGeom>
                    <a:noFill/>
                    <a:ln>
                      <a:noFill/>
                    </a:ln>
                  </pic:spPr>
                </pic:pic>
              </a:graphicData>
            </a:graphic>
          </wp:inline>
        </w:drawing>
      </w:r>
    </w:p>
    <w:p w14:paraId="31B0DFC1" w14:textId="77777777" w:rsidR="006B6726" w:rsidRDefault="006B6726" w:rsidP="006B6726">
      <w:pPr>
        <w:rPr>
          <w:lang w:val="en-US"/>
        </w:rPr>
      </w:pPr>
      <w:r>
        <w:rPr>
          <w:lang w:val="en-US"/>
        </w:rPr>
        <w:t xml:space="preserve">SI Fig. 1. Radiometric ages of the localities in the San Miguel de Allende Basin, Guanajuato, Mexico: </w:t>
      </w:r>
      <w:r>
        <w:rPr>
          <w:b/>
          <w:bCs/>
          <w:lang w:val="en-US"/>
        </w:rPr>
        <w:t xml:space="preserve">a. </w:t>
      </w:r>
      <w:r>
        <w:rPr>
          <w:lang w:val="en-US"/>
        </w:rPr>
        <w:t xml:space="preserve">locality GTO 6 “Arrastracaballos”, </w:t>
      </w:r>
      <w:r>
        <w:rPr>
          <w:b/>
          <w:bCs/>
          <w:lang w:val="en-US"/>
        </w:rPr>
        <w:t xml:space="preserve">b. </w:t>
      </w:r>
      <w:r>
        <w:rPr>
          <w:lang w:val="en-US"/>
        </w:rPr>
        <w:t xml:space="preserve">locality GTO 12 “La Pantera”. </w:t>
      </w:r>
      <w:r>
        <w:t xml:space="preserve">The analysis were doing in the Laboratorio de Estudios Isotópicos, Centro de Geociencias, Universidad Nacional Autónoma de México (LEI). </w:t>
      </w:r>
      <w:r>
        <w:rPr>
          <w:lang w:val="en-US"/>
        </w:rPr>
        <w:t xml:space="preserve">We analyzed 206Pb/238U in the youngest and most concordant zircon population collected in </w:t>
      </w:r>
      <w:r>
        <w:rPr>
          <w:lang w:val="en-US"/>
        </w:rPr>
        <w:lastRenderedPageBreak/>
        <w:t>volcanic ashes, the method was by laser ablation in a single/crystal using a coupled plasma-mass spectrometry (ICP-MS).</w:t>
      </w:r>
    </w:p>
    <w:p w14:paraId="6984B312" w14:textId="4B3F0A50" w:rsidR="006B6726" w:rsidRDefault="006B6726" w:rsidP="006B6726">
      <w:pPr>
        <w:rPr>
          <w:lang w:val="en-US"/>
        </w:rPr>
      </w:pPr>
      <w:r>
        <w:rPr>
          <w:noProof/>
          <w:lang w:val="en-US"/>
        </w:rPr>
        <w:drawing>
          <wp:inline distT="0" distB="0" distL="0" distR="0" wp14:anchorId="6F827E7F" wp14:editId="061D6FD8">
            <wp:extent cx="5610860" cy="3954780"/>
            <wp:effectExtent l="0" t="0" r="8890" b="7620"/>
            <wp:docPr id="12430250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0860" cy="3954780"/>
                    </a:xfrm>
                    <a:prstGeom prst="rect">
                      <a:avLst/>
                    </a:prstGeom>
                    <a:noFill/>
                    <a:ln>
                      <a:noFill/>
                    </a:ln>
                  </pic:spPr>
                </pic:pic>
              </a:graphicData>
            </a:graphic>
          </wp:inline>
        </w:drawing>
      </w:r>
    </w:p>
    <w:p w14:paraId="22D6B014" w14:textId="77777777" w:rsidR="006B6726" w:rsidRDefault="006B6726" w:rsidP="006B6726">
      <w:pPr>
        <w:ind w:firstLine="567"/>
        <w:rPr>
          <w:rFonts w:cstheme="minorHAnsi"/>
          <w:lang w:val="en-US"/>
        </w:rPr>
      </w:pPr>
      <w:r>
        <w:rPr>
          <w:lang w:val="en-US"/>
        </w:rPr>
        <w:t xml:space="preserve">SI Fig. 2. Dental terminology used in this study illustrated with the upper and lower jaws of </w:t>
      </w:r>
      <w:r>
        <w:rPr>
          <w:i/>
          <w:iCs/>
          <w:lang w:val="en-US"/>
        </w:rPr>
        <w:t>Sigmodon hispidus saturatus</w:t>
      </w:r>
      <w:r>
        <w:rPr>
          <w:lang w:val="en-US"/>
        </w:rPr>
        <w:t xml:space="preserve"> LACMm 18846. </w:t>
      </w:r>
      <w:r>
        <w:rPr>
          <w:b/>
          <w:bCs/>
          <w:lang w:val="en-US"/>
        </w:rPr>
        <w:t xml:space="preserve">a. </w:t>
      </w:r>
      <w:r>
        <w:rPr>
          <w:lang w:val="en-US"/>
        </w:rPr>
        <w:t xml:space="preserve">Right maxillary with the molar one (M1), molar two (M2) and molar three (M3); </w:t>
      </w:r>
      <w:r>
        <w:rPr>
          <w:b/>
          <w:bCs/>
          <w:lang w:val="en-US"/>
        </w:rPr>
        <w:t xml:space="preserve">b. </w:t>
      </w:r>
      <w:r>
        <w:rPr>
          <w:lang w:val="en-US"/>
        </w:rPr>
        <w:t xml:space="preserve">Right dentary with the molar one (m1), molar two (m2) and molar three (m3). The nomenclature was based on Reig (1977) and Martin </w:t>
      </w:r>
      <w:r>
        <w:rPr>
          <w:i/>
          <w:iCs/>
          <w:lang w:val="en-US"/>
        </w:rPr>
        <w:t>et al</w:t>
      </w:r>
      <w:r>
        <w:rPr>
          <w:lang w:val="en-US"/>
        </w:rPr>
        <w:t xml:space="preserve"> (2020). Anatomical abbreviations: </w:t>
      </w:r>
      <w:r>
        <w:rPr>
          <w:rFonts w:cstheme="minorHAnsi"/>
          <w:b/>
          <w:bCs/>
          <w:lang w:val="en-US"/>
        </w:rPr>
        <w:t xml:space="preserve">acin, </w:t>
      </w:r>
      <w:r>
        <w:rPr>
          <w:rFonts w:cstheme="minorHAnsi"/>
          <w:lang w:val="en-US"/>
        </w:rPr>
        <w:t>anterior cingulum;</w:t>
      </w:r>
      <w:r>
        <w:rPr>
          <w:rFonts w:cstheme="minorHAnsi"/>
          <w:b/>
          <w:bCs/>
          <w:lang w:val="en-US"/>
        </w:rPr>
        <w:t xml:space="preserve"> amd, </w:t>
      </w:r>
      <w:r>
        <w:rPr>
          <w:rFonts w:cstheme="minorHAnsi"/>
          <w:lang w:val="en-US"/>
        </w:rPr>
        <w:t>anterior murid;</w:t>
      </w:r>
      <w:r>
        <w:rPr>
          <w:rFonts w:cstheme="minorHAnsi"/>
          <w:b/>
          <w:bCs/>
          <w:lang w:val="en-US"/>
        </w:rPr>
        <w:t xml:space="preserve"> ant,</w:t>
      </w:r>
      <w:r>
        <w:rPr>
          <w:rFonts w:cstheme="minorHAnsi"/>
          <w:lang w:val="en-US"/>
        </w:rPr>
        <w:t xml:space="preserve"> anterocone;</w:t>
      </w:r>
      <w:r>
        <w:rPr>
          <w:rFonts w:cstheme="minorHAnsi"/>
          <w:b/>
          <w:bCs/>
          <w:lang w:val="en-US"/>
        </w:rPr>
        <w:t xml:space="preserve"> antd,</w:t>
      </w:r>
      <w:r>
        <w:rPr>
          <w:rFonts w:cstheme="minorHAnsi"/>
          <w:lang w:val="en-US"/>
        </w:rPr>
        <w:t xml:space="preserve"> anteroconid;</w:t>
      </w:r>
      <w:r>
        <w:rPr>
          <w:rFonts w:cstheme="minorHAnsi"/>
          <w:b/>
          <w:bCs/>
          <w:lang w:val="en-US"/>
        </w:rPr>
        <w:t xml:space="preserve"> antl, </w:t>
      </w:r>
      <w:r>
        <w:rPr>
          <w:rFonts w:cstheme="minorHAnsi"/>
          <w:lang w:val="en-US"/>
        </w:rPr>
        <w:t>anteroloph;</w:t>
      </w:r>
      <w:r>
        <w:rPr>
          <w:rFonts w:cstheme="minorHAnsi"/>
          <w:b/>
          <w:bCs/>
          <w:lang w:val="en-US"/>
        </w:rPr>
        <w:t xml:space="preserve"> ectd, </w:t>
      </w:r>
      <w:r>
        <w:rPr>
          <w:rFonts w:cstheme="minorHAnsi"/>
          <w:lang w:val="en-US"/>
        </w:rPr>
        <w:t xml:space="preserve">ectostylid (structure not seen in modern </w:t>
      </w:r>
      <w:r>
        <w:rPr>
          <w:rFonts w:cstheme="minorHAnsi"/>
          <w:i/>
          <w:iCs/>
          <w:lang w:val="en-US"/>
        </w:rPr>
        <w:t>Sigmodon</w:t>
      </w:r>
      <w:r>
        <w:rPr>
          <w:rFonts w:cstheme="minorHAnsi"/>
          <w:lang w:val="en-US"/>
        </w:rPr>
        <w:t>);</w:t>
      </w:r>
      <w:r>
        <w:rPr>
          <w:rFonts w:cstheme="minorHAnsi"/>
          <w:b/>
          <w:bCs/>
          <w:lang w:val="en-US"/>
        </w:rPr>
        <w:t xml:space="preserve"> entd, </w:t>
      </w:r>
      <w:r>
        <w:rPr>
          <w:rFonts w:cstheme="minorHAnsi"/>
          <w:lang w:val="en-US"/>
        </w:rPr>
        <w:t>entoconid;</w:t>
      </w:r>
      <w:r>
        <w:rPr>
          <w:rFonts w:cstheme="minorHAnsi"/>
          <w:b/>
          <w:bCs/>
          <w:lang w:val="en-US"/>
        </w:rPr>
        <w:t xml:space="preserve"> entfd, </w:t>
      </w:r>
      <w:r>
        <w:rPr>
          <w:rFonts w:cstheme="minorHAnsi"/>
          <w:lang w:val="en-US"/>
        </w:rPr>
        <w:t>entoflexid;</w:t>
      </w:r>
      <w:r>
        <w:rPr>
          <w:rFonts w:cstheme="minorHAnsi"/>
          <w:b/>
          <w:bCs/>
          <w:lang w:val="en-US"/>
        </w:rPr>
        <w:t xml:space="preserve"> hyp,</w:t>
      </w:r>
      <w:r>
        <w:rPr>
          <w:rFonts w:cstheme="minorHAnsi"/>
          <w:lang w:val="en-US"/>
        </w:rPr>
        <w:t xml:space="preserve"> hypocone;</w:t>
      </w:r>
      <w:r>
        <w:rPr>
          <w:rFonts w:cstheme="minorHAnsi"/>
          <w:b/>
          <w:bCs/>
          <w:lang w:val="en-US"/>
        </w:rPr>
        <w:t xml:space="preserve"> hypd,</w:t>
      </w:r>
      <w:r>
        <w:rPr>
          <w:rFonts w:cstheme="minorHAnsi"/>
          <w:lang w:val="en-US"/>
        </w:rPr>
        <w:t xml:space="preserve"> hypoconid;</w:t>
      </w:r>
      <w:r>
        <w:rPr>
          <w:rFonts w:cstheme="minorHAnsi"/>
          <w:b/>
          <w:bCs/>
          <w:lang w:val="en-US"/>
        </w:rPr>
        <w:t xml:space="preserve"> hypf, </w:t>
      </w:r>
      <w:r>
        <w:rPr>
          <w:rFonts w:cstheme="minorHAnsi"/>
          <w:lang w:val="en-US"/>
        </w:rPr>
        <w:t>hypoflexus;</w:t>
      </w:r>
      <w:r>
        <w:rPr>
          <w:rFonts w:cstheme="minorHAnsi"/>
          <w:b/>
          <w:bCs/>
          <w:lang w:val="en-US"/>
        </w:rPr>
        <w:t xml:space="preserve"> hypfd,</w:t>
      </w:r>
      <w:r>
        <w:rPr>
          <w:rFonts w:cstheme="minorHAnsi"/>
          <w:lang w:val="en-US"/>
        </w:rPr>
        <w:t xml:space="preserve"> hypoflexid;</w:t>
      </w:r>
      <w:r>
        <w:rPr>
          <w:rFonts w:cstheme="minorHAnsi"/>
          <w:b/>
          <w:bCs/>
          <w:lang w:val="en-US"/>
        </w:rPr>
        <w:t xml:space="preserve"> met,</w:t>
      </w:r>
      <w:r>
        <w:rPr>
          <w:rFonts w:cstheme="minorHAnsi"/>
          <w:lang w:val="en-US"/>
        </w:rPr>
        <w:t xml:space="preserve"> metacone;</w:t>
      </w:r>
      <w:r>
        <w:rPr>
          <w:rFonts w:cstheme="minorHAnsi"/>
          <w:b/>
          <w:bCs/>
          <w:lang w:val="en-US"/>
        </w:rPr>
        <w:t xml:space="preserve"> metd,</w:t>
      </w:r>
      <w:r>
        <w:rPr>
          <w:rFonts w:cstheme="minorHAnsi"/>
          <w:lang w:val="en-US"/>
        </w:rPr>
        <w:t xml:space="preserve"> metaconid;</w:t>
      </w:r>
      <w:r>
        <w:rPr>
          <w:rFonts w:cstheme="minorHAnsi"/>
          <w:b/>
          <w:bCs/>
          <w:lang w:val="en-US"/>
        </w:rPr>
        <w:t xml:space="preserve"> metf,</w:t>
      </w:r>
      <w:r>
        <w:rPr>
          <w:rFonts w:cstheme="minorHAnsi"/>
          <w:lang w:val="en-US"/>
        </w:rPr>
        <w:t xml:space="preserve"> metaflexus;</w:t>
      </w:r>
      <w:r>
        <w:rPr>
          <w:rFonts w:cstheme="minorHAnsi"/>
          <w:b/>
          <w:bCs/>
          <w:lang w:val="en-US"/>
        </w:rPr>
        <w:t xml:space="preserve"> metfd, </w:t>
      </w:r>
      <w:r>
        <w:rPr>
          <w:rFonts w:cstheme="minorHAnsi"/>
          <w:lang w:val="en-US"/>
        </w:rPr>
        <w:t>metaflexid;</w:t>
      </w:r>
      <w:r>
        <w:rPr>
          <w:b/>
          <w:bCs/>
          <w:lang w:val="en-US"/>
        </w:rPr>
        <w:t xml:space="preserve"> par,</w:t>
      </w:r>
      <w:r>
        <w:rPr>
          <w:rFonts w:cstheme="minorHAnsi"/>
          <w:lang w:val="en-US"/>
        </w:rPr>
        <w:t xml:space="preserve"> paracone;</w:t>
      </w:r>
      <w:r>
        <w:rPr>
          <w:rFonts w:cstheme="minorHAnsi"/>
          <w:b/>
          <w:bCs/>
          <w:lang w:val="en-US"/>
        </w:rPr>
        <w:t xml:space="preserve"> parf, </w:t>
      </w:r>
      <w:r>
        <w:rPr>
          <w:rFonts w:cstheme="minorHAnsi"/>
          <w:lang w:val="en-US"/>
        </w:rPr>
        <w:t>paraflexus;</w:t>
      </w:r>
      <w:r>
        <w:rPr>
          <w:rFonts w:cstheme="minorHAnsi"/>
          <w:b/>
          <w:bCs/>
          <w:lang w:val="en-US"/>
        </w:rPr>
        <w:t xml:space="preserve"> parl, </w:t>
      </w:r>
      <w:r>
        <w:rPr>
          <w:rFonts w:cstheme="minorHAnsi"/>
          <w:lang w:val="en-US"/>
        </w:rPr>
        <w:t>paralophule;</w:t>
      </w:r>
      <w:r>
        <w:rPr>
          <w:rFonts w:cstheme="minorHAnsi"/>
          <w:b/>
          <w:bCs/>
          <w:lang w:val="en-US"/>
        </w:rPr>
        <w:t xml:space="preserve"> posfd</w:t>
      </w:r>
      <w:r>
        <w:rPr>
          <w:rFonts w:cstheme="minorHAnsi"/>
          <w:lang w:val="en-US"/>
        </w:rPr>
        <w:t xml:space="preserve"> posteroflexid;</w:t>
      </w:r>
      <w:r>
        <w:rPr>
          <w:rFonts w:cstheme="minorHAnsi"/>
          <w:b/>
          <w:bCs/>
          <w:lang w:val="en-US"/>
        </w:rPr>
        <w:t xml:space="preserve"> posld, </w:t>
      </w:r>
      <w:r>
        <w:rPr>
          <w:rFonts w:cstheme="minorHAnsi"/>
          <w:lang w:val="en-US"/>
        </w:rPr>
        <w:t>posterolophid;</w:t>
      </w:r>
      <w:r>
        <w:rPr>
          <w:rFonts w:cstheme="minorHAnsi"/>
          <w:b/>
          <w:bCs/>
          <w:lang w:val="en-US"/>
        </w:rPr>
        <w:t xml:space="preserve"> pro,</w:t>
      </w:r>
      <w:r>
        <w:rPr>
          <w:rFonts w:cstheme="minorHAnsi"/>
          <w:lang w:val="en-US"/>
        </w:rPr>
        <w:t xml:space="preserve"> protocone;</w:t>
      </w:r>
      <w:r>
        <w:rPr>
          <w:rFonts w:cstheme="minorHAnsi"/>
          <w:b/>
          <w:bCs/>
          <w:lang w:val="en-US"/>
        </w:rPr>
        <w:t xml:space="preserve"> prod,</w:t>
      </w:r>
      <w:r>
        <w:rPr>
          <w:rFonts w:cstheme="minorHAnsi"/>
          <w:lang w:val="en-US"/>
        </w:rPr>
        <w:t xml:space="preserve"> protoconid;</w:t>
      </w:r>
      <w:r>
        <w:rPr>
          <w:rFonts w:cstheme="minorHAnsi"/>
          <w:b/>
          <w:bCs/>
          <w:lang w:val="en-US"/>
        </w:rPr>
        <w:t xml:space="preserve"> prof, </w:t>
      </w:r>
      <w:r>
        <w:rPr>
          <w:rFonts w:cstheme="minorHAnsi"/>
          <w:lang w:val="en-US"/>
        </w:rPr>
        <w:t>protoflexus;</w:t>
      </w:r>
      <w:r>
        <w:rPr>
          <w:rFonts w:cstheme="minorHAnsi"/>
          <w:b/>
          <w:bCs/>
          <w:lang w:val="en-US"/>
        </w:rPr>
        <w:t xml:space="preserve"> profd, </w:t>
      </w:r>
      <w:r>
        <w:rPr>
          <w:rFonts w:cstheme="minorHAnsi"/>
          <w:lang w:val="en-US"/>
        </w:rPr>
        <w:t>protoflexid.</w:t>
      </w:r>
    </w:p>
    <w:p w14:paraId="212DB061" w14:textId="3C4759D6" w:rsidR="006B6726" w:rsidRDefault="006B6726" w:rsidP="006B6726">
      <w:pPr>
        <w:ind w:firstLine="567"/>
        <w:rPr>
          <w:rFonts w:cstheme="minorHAnsi"/>
          <w:lang w:val="en-US"/>
        </w:rPr>
      </w:pPr>
      <w:r>
        <w:rPr>
          <w:rFonts w:cstheme="minorHAnsi"/>
          <w:noProof/>
          <w:lang w:val="en-US"/>
        </w:rPr>
        <w:lastRenderedPageBreak/>
        <w:drawing>
          <wp:inline distT="0" distB="0" distL="0" distR="0" wp14:anchorId="7C3BC08D" wp14:editId="64B9859A">
            <wp:extent cx="5610860" cy="6074410"/>
            <wp:effectExtent l="0" t="0" r="8890" b="2540"/>
            <wp:docPr id="1421394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860" cy="6074410"/>
                    </a:xfrm>
                    <a:prstGeom prst="rect">
                      <a:avLst/>
                    </a:prstGeom>
                    <a:noFill/>
                    <a:ln>
                      <a:noFill/>
                    </a:ln>
                  </pic:spPr>
                </pic:pic>
              </a:graphicData>
            </a:graphic>
          </wp:inline>
        </w:drawing>
      </w:r>
    </w:p>
    <w:p w14:paraId="70D44D28" w14:textId="77777777" w:rsidR="006B6726" w:rsidRDefault="006B6726" w:rsidP="006B6726">
      <w:pPr>
        <w:ind w:firstLine="567"/>
        <w:rPr>
          <w:rFonts w:cstheme="minorHAnsi"/>
          <w:lang w:val="en-US"/>
        </w:rPr>
      </w:pPr>
      <w:r>
        <w:rPr>
          <w:rFonts w:cstheme="minorHAnsi"/>
          <w:lang w:val="en-US"/>
        </w:rPr>
        <w:t xml:space="preserve">SI Fig. 3. Upper and lower molars of modern species of Sigmodon. </w:t>
      </w:r>
      <w:r>
        <w:rPr>
          <w:rFonts w:cstheme="minorHAnsi"/>
          <w:b/>
          <w:bCs/>
          <w:lang w:val="en-US"/>
        </w:rPr>
        <w:t xml:space="preserve">a-b, </w:t>
      </w:r>
      <w:r>
        <w:rPr>
          <w:rFonts w:cstheme="minorHAnsi"/>
          <w:lang w:val="en-US"/>
        </w:rPr>
        <w:t xml:space="preserve">LACMm 4688, </w:t>
      </w:r>
      <w:r>
        <w:rPr>
          <w:rFonts w:cstheme="minorHAnsi"/>
          <w:i/>
          <w:iCs/>
          <w:lang w:val="en-US"/>
        </w:rPr>
        <w:t>Sigmodon hispidus hispidus</w:t>
      </w:r>
      <w:r>
        <w:rPr>
          <w:rFonts w:cstheme="minorHAnsi"/>
          <w:lang w:val="en-US"/>
        </w:rPr>
        <w:t>, upper molars (a) and lower molars (b);</w:t>
      </w:r>
      <w:r>
        <w:rPr>
          <w:rFonts w:cstheme="minorHAnsi"/>
          <w:b/>
          <w:bCs/>
          <w:lang w:val="en-US"/>
        </w:rPr>
        <w:t xml:space="preserve"> c-d, </w:t>
      </w:r>
      <w:r>
        <w:rPr>
          <w:rFonts w:cstheme="minorHAnsi"/>
          <w:lang w:val="en-US"/>
        </w:rPr>
        <w:t xml:space="preserve">LACMm 12274, </w:t>
      </w:r>
      <w:r>
        <w:rPr>
          <w:rFonts w:cstheme="minorHAnsi"/>
          <w:i/>
          <w:iCs/>
          <w:lang w:val="en-US"/>
        </w:rPr>
        <w:t>Sigmodon fulviventer</w:t>
      </w:r>
      <w:r>
        <w:rPr>
          <w:rFonts w:cstheme="minorHAnsi"/>
          <w:lang w:val="en-US"/>
        </w:rPr>
        <w:t>, upper molars (c) and lower molars (d);</w:t>
      </w:r>
      <w:r>
        <w:rPr>
          <w:rFonts w:cstheme="minorHAnsi"/>
          <w:b/>
          <w:bCs/>
          <w:lang w:val="en-US"/>
        </w:rPr>
        <w:t xml:space="preserve"> e-f, </w:t>
      </w:r>
      <w:r>
        <w:rPr>
          <w:rFonts w:cstheme="minorHAnsi"/>
          <w:lang w:val="en-US"/>
        </w:rPr>
        <w:t xml:space="preserve">LACMm 86676, </w:t>
      </w:r>
      <w:r>
        <w:rPr>
          <w:rFonts w:cstheme="minorHAnsi"/>
          <w:i/>
          <w:iCs/>
          <w:lang w:val="en-US"/>
        </w:rPr>
        <w:t>Sigmodon hispidus texiannus</w:t>
      </w:r>
      <w:r>
        <w:rPr>
          <w:rFonts w:cstheme="minorHAnsi"/>
          <w:lang w:val="en-US"/>
        </w:rPr>
        <w:t xml:space="preserve">, upper molars (e) and lower molars (f); </w:t>
      </w:r>
      <w:r>
        <w:rPr>
          <w:rFonts w:cstheme="minorHAnsi"/>
          <w:b/>
          <w:bCs/>
          <w:lang w:val="en-US"/>
        </w:rPr>
        <w:t xml:space="preserve">g, </w:t>
      </w:r>
      <w:r>
        <w:rPr>
          <w:rFonts w:cstheme="minorHAnsi"/>
          <w:lang w:val="en-US"/>
        </w:rPr>
        <w:t xml:space="preserve">LACMm 11466, </w:t>
      </w:r>
      <w:r>
        <w:rPr>
          <w:rFonts w:cstheme="minorHAnsi"/>
          <w:i/>
          <w:iCs/>
          <w:lang w:val="en-US"/>
        </w:rPr>
        <w:t>Sigmodon arizonae</w:t>
      </w:r>
      <w:r>
        <w:rPr>
          <w:rFonts w:cstheme="minorHAnsi"/>
          <w:lang w:val="en-US"/>
        </w:rPr>
        <w:t xml:space="preserve">, lower molars; </w:t>
      </w:r>
      <w:r>
        <w:rPr>
          <w:rFonts w:cstheme="minorHAnsi"/>
          <w:b/>
          <w:bCs/>
          <w:lang w:val="en-US"/>
        </w:rPr>
        <w:t xml:space="preserve">h, </w:t>
      </w:r>
      <w:r>
        <w:rPr>
          <w:rFonts w:cstheme="minorHAnsi"/>
          <w:lang w:val="en-US"/>
        </w:rPr>
        <w:t xml:space="preserve">LACMm 12273, </w:t>
      </w:r>
      <w:r>
        <w:rPr>
          <w:rFonts w:cstheme="minorHAnsi"/>
          <w:i/>
          <w:iCs/>
          <w:lang w:val="en-US"/>
        </w:rPr>
        <w:t>Sigmodon mascotensis</w:t>
      </w:r>
      <w:r>
        <w:rPr>
          <w:rFonts w:cstheme="minorHAnsi"/>
          <w:lang w:val="en-US"/>
        </w:rPr>
        <w:t>, lower molars.</w:t>
      </w:r>
    </w:p>
    <w:p w14:paraId="1BA0E228" w14:textId="77777777" w:rsidR="006B6726" w:rsidRDefault="006B6726" w:rsidP="006B6726">
      <w:pPr>
        <w:ind w:firstLine="567"/>
        <w:rPr>
          <w:rFonts w:cstheme="minorHAnsi"/>
          <w:lang w:val="en-US"/>
        </w:rPr>
      </w:pPr>
    </w:p>
    <w:p w14:paraId="0610DE4B" w14:textId="77777777" w:rsidR="006B6726" w:rsidRDefault="006B6726" w:rsidP="006B6726">
      <w:pPr>
        <w:ind w:firstLine="567"/>
        <w:rPr>
          <w:rFonts w:cstheme="minorHAnsi"/>
          <w:lang w:val="en-US"/>
        </w:rPr>
      </w:pPr>
      <w:r>
        <w:rPr>
          <w:rFonts w:cstheme="minorHAnsi"/>
          <w:lang w:val="en-US"/>
        </w:rPr>
        <w:t>SI. Table 1. E</w:t>
      </w:r>
      <w:r>
        <w:rPr>
          <w:lang w:val="en-US"/>
        </w:rPr>
        <w:t>stimation of body mass (</w:t>
      </w:r>
      <w:r>
        <w:rPr>
          <w:i/>
          <w:iCs/>
          <w:lang w:val="en-US"/>
        </w:rPr>
        <w:t>West</w:t>
      </w:r>
      <w:r>
        <w:rPr>
          <w:lang w:val="en-US"/>
        </w:rPr>
        <w:t xml:space="preserve">) of </w:t>
      </w:r>
      <w:r>
        <w:rPr>
          <w:i/>
          <w:iCs/>
          <w:lang w:val="en-US"/>
        </w:rPr>
        <w:t>Sigmodon minor</w:t>
      </w:r>
      <w:r>
        <w:rPr>
          <w:lang w:val="en-US"/>
        </w:rPr>
        <w:t xml:space="preserve"> from the early Blancan of San Miguel de Allende basin, Guanajuato, Central Mexico. The estimation </w:t>
      </w:r>
      <w:r>
        <w:rPr>
          <w:i/>
          <w:iCs/>
          <w:lang w:val="en-US"/>
        </w:rPr>
        <w:t>West</w:t>
      </w:r>
      <w:r>
        <w:rPr>
          <w:lang w:val="en-US"/>
        </w:rPr>
        <w:t xml:space="preserve"> was made following </w:t>
      </w:r>
      <w:r>
        <w:rPr>
          <w:lang w:val="en-US"/>
        </w:rPr>
        <w:fldChar w:fldCharType="begin" w:fldLock="1"/>
      </w:r>
      <w:r>
        <w:rPr>
          <w:lang w:val="en-US"/>
        </w:rPr>
        <w:instrText>ADDIN CSL_CITATION {"citationItems":[{"id":"ITEM-1","itemData":{"DOI":"10.1080/08912963.2021.1959576","ISSN":"10292381","abstract":"Equations estimating body mass were used to depict a near 5-million-year history of size change in pocket gophers and cotton rats from the Meade Basin of southwestern Kansas. Although phyletic size decrease was noted in Sigmodon minor and Geomys minor and size increase in Geomys quinni, no long-term intra-basin size trends were observed. Immediately following the Huckleberry Ridge ash-fall at 2.11 Ma, the small Pliocene cotton rat S. minor became extinct, a large cotton rat entered the basin, two gophers became extinct, and two new ones entered the basin. Assuming the same rodent contingent at the Short Haul locality as at the Aries A site, between deposition of the Borchers and Short Haul assemblages, minimally about 0.12 million years, 40% of the Meade Basin rodent fauna turned over and Microtus dispersed into North America across Beringia. Geochemical environmental proxy data did not identify significant climatic events in the Borchers Badlands Pleistocene sequence; consequently it is possible that a super-eruption from the Yellowstone caldera was at least partly responsible for size shifts in cotton rats and pocket gophers and significant modifications to the Meade Basin rodent community.","author":[{"dropping-particle":"","family":"Martin","given":"Robert A.","non-dropping-particle":"","parse-names":false,"suffix":""},{"dropping-particle":"","family":"Fox","given":"David L.","non-dropping-particle":"","parse-names":false,"suffix":""},{"dropping-particle":"","family":"Urevig","given":"Andrew","non-dropping-particle":"","parse-names":false,"suffix":""},{"dropping-particle":"","family":"Dean","given":"Makayla R.P.","non-dropping-particle":"","parse-names":false,"suffix":""},{"dropping-particle":"","family":"Rountrey","given":"Adam N.","non-dropping-particle":"","parse-names":false,"suffix":""},{"dropping-particle":"","family":"Peláez-Campomanes","given":"Pablo","non-dropping-particle":"","parse-names":false,"suffix":""}],"container-title":"Historical Biology","id":"ITEM-1","issue":"6","issued":{"date-parts":[["2022"]]},"page":"983-994","publisher":"Taylor &amp; Francis","title":"Fluctuation of body mass in cotton rats and pocket gophers during the late Cenozoic in the Meade basin of Kansas: possible influence of the Huckleberry Ridge Ash-fall","type":"article-journal","volume":"34"},"uris":["http://www.mendeley.com/documents/?uuid=ccc07305-4b8d-4b35-9d15-ac81710cbf81"]}],"mendeley":{"formattedCitation":"(Martin et al. 2022)","manualFormatting":"Martin et al. (2022)","plainTextFormattedCitation":"(Martin et al. 2022)","previouslyFormattedCitation":"(Martin et al. 2022)"},"properties":{"noteIndex":0},"schema":"https://github.com/citation-style-language/schema/raw/master/csl-citation.json"}</w:instrText>
      </w:r>
      <w:r>
        <w:rPr>
          <w:lang w:val="en-US"/>
        </w:rPr>
        <w:fldChar w:fldCharType="separate"/>
      </w:r>
      <w:r>
        <w:rPr>
          <w:noProof/>
          <w:lang w:val="en-US"/>
        </w:rPr>
        <w:t>Martin et al. (2022)</w:t>
      </w:r>
      <w:r>
        <w:rPr>
          <w:lang w:val="en-US"/>
        </w:rPr>
        <w:fldChar w:fldCharType="end"/>
      </w:r>
      <w:r>
        <w:rPr>
          <w:lang w:val="en-US"/>
        </w:rPr>
        <w:t xml:space="preserve">, which considers the anteroposterior length of the first lower molar. </w:t>
      </w:r>
    </w:p>
    <w:p w14:paraId="502C9AD8" w14:textId="77777777" w:rsidR="006B6726" w:rsidRDefault="006B6726" w:rsidP="006B6726">
      <w:pPr>
        <w:ind w:firstLine="567"/>
        <w:rPr>
          <w:rFonts w:cstheme="minorHAnsi"/>
          <w:lang w:val="en-US"/>
        </w:rPr>
      </w:pPr>
    </w:p>
    <w:tbl>
      <w:tblPr>
        <w:tblW w:w="5382" w:type="dxa"/>
        <w:jc w:val="center"/>
        <w:tblCellMar>
          <w:left w:w="70" w:type="dxa"/>
          <w:right w:w="70" w:type="dxa"/>
        </w:tblCellMar>
        <w:tblLook w:val="04A0" w:firstRow="1" w:lastRow="0" w:firstColumn="1" w:lastColumn="0" w:noHBand="0" w:noVBand="1"/>
      </w:tblPr>
      <w:tblGrid>
        <w:gridCol w:w="1200"/>
        <w:gridCol w:w="1200"/>
        <w:gridCol w:w="1281"/>
        <w:gridCol w:w="1701"/>
      </w:tblGrid>
      <w:tr w:rsidR="006B6726" w14:paraId="4E0C9A00" w14:textId="77777777" w:rsidTr="006B6726">
        <w:trPr>
          <w:trHeight w:val="330"/>
          <w:jc w:val="center"/>
        </w:trPr>
        <w:tc>
          <w:tcPr>
            <w:tcW w:w="1200" w:type="dxa"/>
            <w:tcBorders>
              <w:top w:val="nil"/>
              <w:left w:val="nil"/>
              <w:bottom w:val="single" w:sz="4" w:space="0" w:color="auto"/>
              <w:right w:val="nil"/>
            </w:tcBorders>
            <w:shd w:val="clear" w:color="auto" w:fill="FFFFFF"/>
            <w:noWrap/>
            <w:vAlign w:val="bottom"/>
            <w:hideMark/>
          </w:tcPr>
          <w:p w14:paraId="5A3D21C4" w14:textId="77777777" w:rsidR="006B6726" w:rsidRDefault="006B6726">
            <w:pPr>
              <w:spacing w:after="0" w:line="240" w:lineRule="auto"/>
              <w:jc w:val="center"/>
              <w:rPr>
                <w:rFonts w:ascii="Calibri" w:eastAsia="Times New Roman" w:hAnsi="Calibri" w:cs="Calibri"/>
                <w:b/>
                <w:bCs/>
                <w:color w:val="000000"/>
                <w:kern w:val="0"/>
                <w:sz w:val="24"/>
                <w:szCs w:val="24"/>
                <w:lang w:eastAsia="es-MX"/>
                <w14:ligatures w14:val="none"/>
              </w:rPr>
            </w:pPr>
            <w:r>
              <w:rPr>
                <w:rFonts w:ascii="Calibri" w:eastAsia="Times New Roman" w:hAnsi="Calibri" w:cs="Calibri"/>
                <w:b/>
                <w:bCs/>
                <w:color w:val="000000"/>
                <w:kern w:val="0"/>
                <w:sz w:val="24"/>
                <w:szCs w:val="24"/>
                <w:lang w:eastAsia="es-MX"/>
                <w14:ligatures w14:val="none"/>
              </w:rPr>
              <w:t>#Catalog</w:t>
            </w:r>
          </w:p>
        </w:tc>
        <w:tc>
          <w:tcPr>
            <w:tcW w:w="1200" w:type="dxa"/>
            <w:tcBorders>
              <w:top w:val="nil"/>
              <w:left w:val="nil"/>
              <w:bottom w:val="single" w:sz="4" w:space="0" w:color="auto"/>
              <w:right w:val="nil"/>
            </w:tcBorders>
            <w:shd w:val="clear" w:color="auto" w:fill="FFFFFF"/>
            <w:noWrap/>
            <w:vAlign w:val="bottom"/>
            <w:hideMark/>
          </w:tcPr>
          <w:p w14:paraId="7645391C" w14:textId="77777777" w:rsidR="006B6726" w:rsidRDefault="006B6726">
            <w:pPr>
              <w:spacing w:after="0" w:line="240" w:lineRule="auto"/>
              <w:jc w:val="center"/>
              <w:rPr>
                <w:rFonts w:ascii="Calibri" w:eastAsia="Times New Roman" w:hAnsi="Calibri" w:cs="Calibri"/>
                <w:b/>
                <w:bCs/>
                <w:color w:val="000000"/>
                <w:kern w:val="0"/>
                <w:sz w:val="24"/>
                <w:szCs w:val="24"/>
                <w:lang w:eastAsia="es-MX"/>
                <w14:ligatures w14:val="none"/>
              </w:rPr>
            </w:pPr>
            <w:r>
              <w:rPr>
                <w:rFonts w:ascii="Calibri" w:eastAsia="Times New Roman" w:hAnsi="Calibri" w:cs="Calibri"/>
                <w:b/>
                <w:bCs/>
                <w:color w:val="000000"/>
                <w:kern w:val="0"/>
                <w:sz w:val="24"/>
                <w:szCs w:val="24"/>
                <w:lang w:eastAsia="es-MX"/>
                <w14:ligatures w14:val="none"/>
              </w:rPr>
              <w:t>Locality</w:t>
            </w:r>
          </w:p>
        </w:tc>
        <w:tc>
          <w:tcPr>
            <w:tcW w:w="1281" w:type="dxa"/>
            <w:tcBorders>
              <w:top w:val="nil"/>
              <w:left w:val="nil"/>
              <w:bottom w:val="single" w:sz="4" w:space="0" w:color="auto"/>
              <w:right w:val="nil"/>
            </w:tcBorders>
            <w:shd w:val="clear" w:color="auto" w:fill="FFFFFF"/>
            <w:noWrap/>
            <w:vAlign w:val="bottom"/>
            <w:hideMark/>
          </w:tcPr>
          <w:p w14:paraId="58ACF05D" w14:textId="77777777" w:rsidR="006B6726" w:rsidRDefault="006B6726">
            <w:pPr>
              <w:spacing w:after="0" w:line="240" w:lineRule="auto"/>
              <w:jc w:val="center"/>
              <w:rPr>
                <w:rFonts w:ascii="Calibri" w:eastAsia="Times New Roman" w:hAnsi="Calibri" w:cs="Calibri"/>
                <w:b/>
                <w:bCs/>
                <w:color w:val="000000"/>
                <w:kern w:val="0"/>
                <w:sz w:val="24"/>
                <w:szCs w:val="24"/>
                <w:lang w:eastAsia="es-MX"/>
                <w14:ligatures w14:val="none"/>
              </w:rPr>
            </w:pPr>
            <w:r>
              <w:rPr>
                <w:rFonts w:ascii="Calibri" w:eastAsia="Times New Roman" w:hAnsi="Calibri" w:cs="Calibri"/>
                <w:b/>
                <w:bCs/>
                <w:color w:val="000000"/>
                <w:kern w:val="0"/>
                <w:sz w:val="24"/>
                <w:szCs w:val="24"/>
                <w:lang w:eastAsia="es-MX"/>
                <w14:ligatures w14:val="none"/>
              </w:rPr>
              <w:t>m1 Length</w:t>
            </w:r>
          </w:p>
        </w:tc>
        <w:tc>
          <w:tcPr>
            <w:tcW w:w="1701" w:type="dxa"/>
            <w:tcBorders>
              <w:top w:val="nil"/>
              <w:left w:val="nil"/>
              <w:bottom w:val="single" w:sz="4" w:space="0" w:color="auto"/>
              <w:right w:val="nil"/>
            </w:tcBorders>
            <w:shd w:val="clear" w:color="auto" w:fill="FFFFFF"/>
            <w:noWrap/>
            <w:vAlign w:val="bottom"/>
            <w:hideMark/>
          </w:tcPr>
          <w:p w14:paraId="7D8E1019" w14:textId="77777777" w:rsidR="006B6726" w:rsidRDefault="006B6726">
            <w:pPr>
              <w:spacing w:after="0" w:line="240" w:lineRule="auto"/>
              <w:jc w:val="center"/>
              <w:rPr>
                <w:rFonts w:ascii="Calibri" w:eastAsia="Times New Roman" w:hAnsi="Calibri" w:cs="Calibri"/>
                <w:b/>
                <w:bCs/>
                <w:color w:val="000000"/>
                <w:kern w:val="0"/>
                <w:sz w:val="24"/>
                <w:szCs w:val="24"/>
                <w:lang w:eastAsia="es-MX"/>
                <w14:ligatures w14:val="none"/>
              </w:rPr>
            </w:pPr>
            <w:r>
              <w:rPr>
                <w:rFonts w:ascii="Calibri" w:eastAsia="Times New Roman" w:hAnsi="Calibri" w:cs="Calibri"/>
                <w:b/>
                <w:bCs/>
                <w:i/>
                <w:iCs/>
                <w:color w:val="000000"/>
                <w:kern w:val="0"/>
                <w:sz w:val="24"/>
                <w:szCs w:val="24"/>
                <w:lang w:eastAsia="es-MX"/>
                <w14:ligatures w14:val="none"/>
              </w:rPr>
              <w:t>West</w:t>
            </w:r>
            <w:r>
              <w:rPr>
                <w:rFonts w:ascii="Calibri" w:eastAsia="Times New Roman" w:hAnsi="Calibri" w:cs="Calibri"/>
                <w:b/>
                <w:bCs/>
                <w:color w:val="000000"/>
                <w:kern w:val="0"/>
                <w:sz w:val="24"/>
                <w:szCs w:val="24"/>
                <w:lang w:eastAsia="es-MX"/>
                <w14:ligatures w14:val="none"/>
              </w:rPr>
              <w:t xml:space="preserve"> (gr)</w:t>
            </w:r>
          </w:p>
        </w:tc>
      </w:tr>
      <w:tr w:rsidR="006B6726" w14:paraId="433545F2" w14:textId="77777777" w:rsidTr="006B6726">
        <w:trPr>
          <w:trHeight w:val="300"/>
          <w:jc w:val="center"/>
        </w:trPr>
        <w:tc>
          <w:tcPr>
            <w:tcW w:w="1200" w:type="dxa"/>
            <w:tcBorders>
              <w:top w:val="single" w:sz="4" w:space="0" w:color="auto"/>
              <w:left w:val="nil"/>
              <w:bottom w:val="nil"/>
              <w:right w:val="nil"/>
            </w:tcBorders>
            <w:shd w:val="clear" w:color="auto" w:fill="FFFFFF"/>
            <w:noWrap/>
            <w:vAlign w:val="bottom"/>
            <w:hideMark/>
          </w:tcPr>
          <w:p w14:paraId="547CC2D9"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6007</w:t>
            </w:r>
          </w:p>
        </w:tc>
        <w:tc>
          <w:tcPr>
            <w:tcW w:w="1200" w:type="dxa"/>
            <w:tcBorders>
              <w:top w:val="single" w:sz="4" w:space="0" w:color="auto"/>
              <w:left w:val="nil"/>
              <w:bottom w:val="nil"/>
              <w:right w:val="nil"/>
            </w:tcBorders>
            <w:shd w:val="clear" w:color="auto" w:fill="FFFFFF"/>
            <w:noWrap/>
            <w:vAlign w:val="bottom"/>
            <w:hideMark/>
          </w:tcPr>
          <w:p w14:paraId="514BD84C"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6</w:t>
            </w:r>
          </w:p>
        </w:tc>
        <w:tc>
          <w:tcPr>
            <w:tcW w:w="1281" w:type="dxa"/>
            <w:tcBorders>
              <w:top w:val="single" w:sz="4" w:space="0" w:color="auto"/>
              <w:left w:val="nil"/>
              <w:bottom w:val="nil"/>
              <w:right w:val="nil"/>
            </w:tcBorders>
            <w:shd w:val="clear" w:color="auto" w:fill="FFFFFF"/>
            <w:noWrap/>
            <w:vAlign w:val="bottom"/>
            <w:hideMark/>
          </w:tcPr>
          <w:p w14:paraId="65B5B0CD"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2.24</w:t>
            </w:r>
          </w:p>
        </w:tc>
        <w:tc>
          <w:tcPr>
            <w:tcW w:w="1701" w:type="dxa"/>
            <w:tcBorders>
              <w:top w:val="single" w:sz="4" w:space="0" w:color="auto"/>
              <w:left w:val="nil"/>
              <w:bottom w:val="nil"/>
              <w:right w:val="nil"/>
            </w:tcBorders>
            <w:shd w:val="clear" w:color="auto" w:fill="FFFFFF"/>
            <w:noWrap/>
            <w:vAlign w:val="bottom"/>
            <w:hideMark/>
          </w:tcPr>
          <w:p w14:paraId="064C9679"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95.7</w:t>
            </w:r>
          </w:p>
        </w:tc>
      </w:tr>
      <w:tr w:rsidR="006B6726" w14:paraId="29D11580" w14:textId="77777777" w:rsidTr="006B6726">
        <w:trPr>
          <w:trHeight w:val="300"/>
          <w:jc w:val="center"/>
        </w:trPr>
        <w:tc>
          <w:tcPr>
            <w:tcW w:w="1200" w:type="dxa"/>
            <w:shd w:val="clear" w:color="auto" w:fill="FFFFFF"/>
            <w:noWrap/>
            <w:vAlign w:val="bottom"/>
            <w:hideMark/>
          </w:tcPr>
          <w:p w14:paraId="6DC93246"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MPGJ1907</w:t>
            </w:r>
          </w:p>
        </w:tc>
        <w:tc>
          <w:tcPr>
            <w:tcW w:w="1200" w:type="dxa"/>
            <w:shd w:val="clear" w:color="auto" w:fill="FFFFFF"/>
            <w:noWrap/>
            <w:vAlign w:val="bottom"/>
            <w:hideMark/>
          </w:tcPr>
          <w:p w14:paraId="5A9A8DB5"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12</w:t>
            </w:r>
          </w:p>
        </w:tc>
        <w:tc>
          <w:tcPr>
            <w:tcW w:w="1281" w:type="dxa"/>
            <w:shd w:val="clear" w:color="auto" w:fill="FFFFFF"/>
            <w:noWrap/>
            <w:vAlign w:val="bottom"/>
            <w:hideMark/>
          </w:tcPr>
          <w:p w14:paraId="763B3058"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2.22</w:t>
            </w:r>
          </w:p>
        </w:tc>
        <w:tc>
          <w:tcPr>
            <w:tcW w:w="1701" w:type="dxa"/>
            <w:shd w:val="clear" w:color="auto" w:fill="FFFFFF"/>
            <w:noWrap/>
            <w:vAlign w:val="bottom"/>
            <w:hideMark/>
          </w:tcPr>
          <w:p w14:paraId="57BA86C5"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89.4</w:t>
            </w:r>
          </w:p>
        </w:tc>
      </w:tr>
      <w:tr w:rsidR="006B6726" w14:paraId="2991F82F" w14:textId="77777777" w:rsidTr="006B6726">
        <w:trPr>
          <w:trHeight w:val="300"/>
          <w:jc w:val="center"/>
        </w:trPr>
        <w:tc>
          <w:tcPr>
            <w:tcW w:w="1200" w:type="dxa"/>
            <w:shd w:val="clear" w:color="auto" w:fill="FFFFFF"/>
            <w:noWrap/>
            <w:vAlign w:val="bottom"/>
            <w:hideMark/>
          </w:tcPr>
          <w:p w14:paraId="5532927C"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2650</w:t>
            </w:r>
          </w:p>
        </w:tc>
        <w:tc>
          <w:tcPr>
            <w:tcW w:w="1200" w:type="dxa"/>
            <w:shd w:val="clear" w:color="auto" w:fill="FFFFFF"/>
            <w:noWrap/>
            <w:vAlign w:val="bottom"/>
            <w:hideMark/>
          </w:tcPr>
          <w:p w14:paraId="102A87BA"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4AA59488"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2.15</w:t>
            </w:r>
          </w:p>
        </w:tc>
        <w:tc>
          <w:tcPr>
            <w:tcW w:w="1701" w:type="dxa"/>
            <w:shd w:val="clear" w:color="auto" w:fill="FFFFFF"/>
            <w:noWrap/>
            <w:vAlign w:val="bottom"/>
            <w:hideMark/>
          </w:tcPr>
          <w:p w14:paraId="4D3FF475"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75.8</w:t>
            </w:r>
          </w:p>
        </w:tc>
      </w:tr>
      <w:tr w:rsidR="006B6726" w14:paraId="4A850F28" w14:textId="77777777" w:rsidTr="006B6726">
        <w:trPr>
          <w:trHeight w:val="300"/>
          <w:jc w:val="center"/>
        </w:trPr>
        <w:tc>
          <w:tcPr>
            <w:tcW w:w="1200" w:type="dxa"/>
            <w:shd w:val="clear" w:color="auto" w:fill="FFFFFF"/>
            <w:noWrap/>
            <w:vAlign w:val="bottom"/>
            <w:hideMark/>
          </w:tcPr>
          <w:p w14:paraId="5FEAE815"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2651</w:t>
            </w:r>
          </w:p>
        </w:tc>
        <w:tc>
          <w:tcPr>
            <w:tcW w:w="1200" w:type="dxa"/>
            <w:shd w:val="clear" w:color="auto" w:fill="FFFFFF"/>
            <w:noWrap/>
            <w:vAlign w:val="bottom"/>
            <w:hideMark/>
          </w:tcPr>
          <w:p w14:paraId="51D652A2"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262CE4FF"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2.27</w:t>
            </w:r>
          </w:p>
        </w:tc>
        <w:tc>
          <w:tcPr>
            <w:tcW w:w="1701" w:type="dxa"/>
            <w:shd w:val="clear" w:color="auto" w:fill="FFFFFF"/>
            <w:noWrap/>
            <w:vAlign w:val="bottom"/>
            <w:hideMark/>
          </w:tcPr>
          <w:p w14:paraId="2359E3CE"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103.7</w:t>
            </w:r>
          </w:p>
        </w:tc>
      </w:tr>
      <w:tr w:rsidR="006B6726" w14:paraId="2F2B20A9" w14:textId="77777777" w:rsidTr="006B6726">
        <w:trPr>
          <w:trHeight w:val="300"/>
          <w:jc w:val="center"/>
        </w:trPr>
        <w:tc>
          <w:tcPr>
            <w:tcW w:w="1200" w:type="dxa"/>
            <w:shd w:val="clear" w:color="auto" w:fill="FFFFFF"/>
            <w:noWrap/>
            <w:vAlign w:val="bottom"/>
            <w:hideMark/>
          </w:tcPr>
          <w:p w14:paraId="6DA349A5"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2654</w:t>
            </w:r>
          </w:p>
        </w:tc>
        <w:tc>
          <w:tcPr>
            <w:tcW w:w="1200" w:type="dxa"/>
            <w:shd w:val="clear" w:color="auto" w:fill="FFFFFF"/>
            <w:noWrap/>
            <w:vAlign w:val="bottom"/>
            <w:hideMark/>
          </w:tcPr>
          <w:p w14:paraId="2C4D3029"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283D5A0E"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1.95</w:t>
            </w:r>
          </w:p>
        </w:tc>
        <w:tc>
          <w:tcPr>
            <w:tcW w:w="1701" w:type="dxa"/>
            <w:shd w:val="clear" w:color="auto" w:fill="FFFFFF"/>
            <w:noWrap/>
            <w:vAlign w:val="bottom"/>
            <w:hideMark/>
          </w:tcPr>
          <w:p w14:paraId="54B497A9"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43.0</w:t>
            </w:r>
          </w:p>
        </w:tc>
      </w:tr>
      <w:tr w:rsidR="006B6726" w14:paraId="293FD80E" w14:textId="77777777" w:rsidTr="006B6726">
        <w:trPr>
          <w:trHeight w:val="300"/>
          <w:jc w:val="center"/>
        </w:trPr>
        <w:tc>
          <w:tcPr>
            <w:tcW w:w="1200" w:type="dxa"/>
            <w:shd w:val="clear" w:color="auto" w:fill="FFFFFF"/>
            <w:noWrap/>
            <w:vAlign w:val="bottom"/>
            <w:hideMark/>
          </w:tcPr>
          <w:p w14:paraId="2490CD4F"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2660</w:t>
            </w:r>
          </w:p>
        </w:tc>
        <w:tc>
          <w:tcPr>
            <w:tcW w:w="1200" w:type="dxa"/>
            <w:shd w:val="clear" w:color="auto" w:fill="FFFFFF"/>
            <w:noWrap/>
            <w:vAlign w:val="bottom"/>
            <w:hideMark/>
          </w:tcPr>
          <w:p w14:paraId="62212856"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2D1566E0"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2.11</w:t>
            </w:r>
          </w:p>
        </w:tc>
        <w:tc>
          <w:tcPr>
            <w:tcW w:w="1701" w:type="dxa"/>
            <w:shd w:val="clear" w:color="auto" w:fill="FFFFFF"/>
            <w:noWrap/>
            <w:vAlign w:val="bottom"/>
            <w:hideMark/>
          </w:tcPr>
          <w:p w14:paraId="29186DFA"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67.0</w:t>
            </w:r>
          </w:p>
        </w:tc>
      </w:tr>
      <w:tr w:rsidR="006B6726" w14:paraId="411DF773" w14:textId="77777777" w:rsidTr="006B6726">
        <w:trPr>
          <w:trHeight w:val="300"/>
          <w:jc w:val="center"/>
        </w:trPr>
        <w:tc>
          <w:tcPr>
            <w:tcW w:w="1200" w:type="dxa"/>
            <w:shd w:val="clear" w:color="auto" w:fill="FFFFFF"/>
            <w:noWrap/>
            <w:vAlign w:val="bottom"/>
            <w:hideMark/>
          </w:tcPr>
          <w:p w14:paraId="11504876"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2669</w:t>
            </w:r>
          </w:p>
        </w:tc>
        <w:tc>
          <w:tcPr>
            <w:tcW w:w="1200" w:type="dxa"/>
            <w:shd w:val="clear" w:color="auto" w:fill="FFFFFF"/>
            <w:noWrap/>
            <w:vAlign w:val="bottom"/>
            <w:hideMark/>
          </w:tcPr>
          <w:p w14:paraId="4FF89342"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0E363441"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2.40</w:t>
            </w:r>
          </w:p>
        </w:tc>
        <w:tc>
          <w:tcPr>
            <w:tcW w:w="1701" w:type="dxa"/>
            <w:shd w:val="clear" w:color="auto" w:fill="FFFFFF"/>
            <w:noWrap/>
            <w:vAlign w:val="bottom"/>
            <w:hideMark/>
          </w:tcPr>
          <w:p w14:paraId="507F5CF5"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142.2</w:t>
            </w:r>
          </w:p>
        </w:tc>
      </w:tr>
      <w:tr w:rsidR="006B6726" w14:paraId="01DAD7B7" w14:textId="77777777" w:rsidTr="006B6726">
        <w:trPr>
          <w:trHeight w:val="300"/>
          <w:jc w:val="center"/>
        </w:trPr>
        <w:tc>
          <w:tcPr>
            <w:tcW w:w="1200" w:type="dxa"/>
            <w:shd w:val="clear" w:color="auto" w:fill="FFFFFF"/>
            <w:noWrap/>
            <w:vAlign w:val="bottom"/>
            <w:hideMark/>
          </w:tcPr>
          <w:p w14:paraId="35AAC574"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2671</w:t>
            </w:r>
          </w:p>
        </w:tc>
        <w:tc>
          <w:tcPr>
            <w:tcW w:w="1200" w:type="dxa"/>
            <w:shd w:val="clear" w:color="auto" w:fill="FFFFFF"/>
            <w:noWrap/>
            <w:vAlign w:val="bottom"/>
            <w:hideMark/>
          </w:tcPr>
          <w:p w14:paraId="7365C256"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21DD5D39"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2.08</w:t>
            </w:r>
          </w:p>
        </w:tc>
        <w:tc>
          <w:tcPr>
            <w:tcW w:w="1701" w:type="dxa"/>
            <w:shd w:val="clear" w:color="auto" w:fill="FFFFFF"/>
            <w:noWrap/>
            <w:vAlign w:val="bottom"/>
            <w:hideMark/>
          </w:tcPr>
          <w:p w14:paraId="444E1079"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62.5</w:t>
            </w:r>
          </w:p>
        </w:tc>
      </w:tr>
      <w:tr w:rsidR="006B6726" w14:paraId="4930FB6C" w14:textId="77777777" w:rsidTr="006B6726">
        <w:trPr>
          <w:trHeight w:val="300"/>
          <w:jc w:val="center"/>
        </w:trPr>
        <w:tc>
          <w:tcPr>
            <w:tcW w:w="1200" w:type="dxa"/>
            <w:shd w:val="clear" w:color="auto" w:fill="FFFFFF"/>
            <w:noWrap/>
            <w:vAlign w:val="bottom"/>
            <w:hideMark/>
          </w:tcPr>
          <w:p w14:paraId="43922E38"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2673</w:t>
            </w:r>
          </w:p>
        </w:tc>
        <w:tc>
          <w:tcPr>
            <w:tcW w:w="1200" w:type="dxa"/>
            <w:shd w:val="clear" w:color="auto" w:fill="FFFFFF"/>
            <w:noWrap/>
            <w:vAlign w:val="bottom"/>
            <w:hideMark/>
          </w:tcPr>
          <w:p w14:paraId="5A03F0AA"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64347DD3"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2.06</w:t>
            </w:r>
          </w:p>
        </w:tc>
        <w:tc>
          <w:tcPr>
            <w:tcW w:w="1701" w:type="dxa"/>
            <w:shd w:val="clear" w:color="auto" w:fill="FFFFFF"/>
            <w:noWrap/>
            <w:vAlign w:val="bottom"/>
            <w:hideMark/>
          </w:tcPr>
          <w:p w14:paraId="4CCC0036"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59.0</w:t>
            </w:r>
          </w:p>
        </w:tc>
      </w:tr>
      <w:tr w:rsidR="006B6726" w14:paraId="5D3100A8" w14:textId="77777777" w:rsidTr="006B6726">
        <w:trPr>
          <w:trHeight w:val="300"/>
          <w:jc w:val="center"/>
        </w:trPr>
        <w:tc>
          <w:tcPr>
            <w:tcW w:w="1200" w:type="dxa"/>
            <w:shd w:val="clear" w:color="auto" w:fill="FFFFFF"/>
            <w:noWrap/>
            <w:vAlign w:val="bottom"/>
            <w:hideMark/>
          </w:tcPr>
          <w:p w14:paraId="772A35F9"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2678</w:t>
            </w:r>
          </w:p>
        </w:tc>
        <w:tc>
          <w:tcPr>
            <w:tcW w:w="1200" w:type="dxa"/>
            <w:shd w:val="clear" w:color="auto" w:fill="FFFFFF"/>
            <w:noWrap/>
            <w:vAlign w:val="bottom"/>
            <w:hideMark/>
          </w:tcPr>
          <w:p w14:paraId="29658632"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36DA0601"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2.09</w:t>
            </w:r>
          </w:p>
        </w:tc>
        <w:tc>
          <w:tcPr>
            <w:tcW w:w="1701" w:type="dxa"/>
            <w:shd w:val="clear" w:color="auto" w:fill="FFFFFF"/>
            <w:noWrap/>
            <w:vAlign w:val="bottom"/>
            <w:hideMark/>
          </w:tcPr>
          <w:p w14:paraId="65252608"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64.2</w:t>
            </w:r>
          </w:p>
        </w:tc>
      </w:tr>
      <w:tr w:rsidR="006B6726" w14:paraId="4B32BA3B" w14:textId="77777777" w:rsidTr="006B6726">
        <w:trPr>
          <w:trHeight w:val="300"/>
          <w:jc w:val="center"/>
        </w:trPr>
        <w:tc>
          <w:tcPr>
            <w:tcW w:w="1200" w:type="dxa"/>
            <w:shd w:val="clear" w:color="auto" w:fill="FFFFFF"/>
            <w:noWrap/>
            <w:vAlign w:val="bottom"/>
            <w:hideMark/>
          </w:tcPr>
          <w:p w14:paraId="3BF3219F"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2681</w:t>
            </w:r>
          </w:p>
        </w:tc>
        <w:tc>
          <w:tcPr>
            <w:tcW w:w="1200" w:type="dxa"/>
            <w:shd w:val="clear" w:color="auto" w:fill="FFFFFF"/>
            <w:noWrap/>
            <w:vAlign w:val="bottom"/>
            <w:hideMark/>
          </w:tcPr>
          <w:p w14:paraId="795D9C83"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174A3FEF"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2.00</w:t>
            </w:r>
          </w:p>
        </w:tc>
        <w:tc>
          <w:tcPr>
            <w:tcW w:w="1701" w:type="dxa"/>
            <w:shd w:val="clear" w:color="auto" w:fill="FFFFFF"/>
            <w:noWrap/>
            <w:vAlign w:val="bottom"/>
            <w:hideMark/>
          </w:tcPr>
          <w:p w14:paraId="16836E7F"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49.6</w:t>
            </w:r>
          </w:p>
        </w:tc>
      </w:tr>
      <w:tr w:rsidR="006B6726" w14:paraId="51629D77" w14:textId="77777777" w:rsidTr="006B6726">
        <w:trPr>
          <w:trHeight w:val="300"/>
          <w:jc w:val="center"/>
        </w:trPr>
        <w:tc>
          <w:tcPr>
            <w:tcW w:w="1200" w:type="dxa"/>
            <w:shd w:val="clear" w:color="auto" w:fill="FFFFFF"/>
            <w:noWrap/>
            <w:vAlign w:val="bottom"/>
            <w:hideMark/>
          </w:tcPr>
          <w:p w14:paraId="741F36D5"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2689</w:t>
            </w:r>
          </w:p>
        </w:tc>
        <w:tc>
          <w:tcPr>
            <w:tcW w:w="1200" w:type="dxa"/>
            <w:shd w:val="clear" w:color="auto" w:fill="FFFFFF"/>
            <w:noWrap/>
            <w:vAlign w:val="bottom"/>
            <w:hideMark/>
          </w:tcPr>
          <w:p w14:paraId="6C877B91"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249C62FD"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2.19</w:t>
            </w:r>
          </w:p>
        </w:tc>
        <w:tc>
          <w:tcPr>
            <w:tcW w:w="1701" w:type="dxa"/>
            <w:shd w:val="clear" w:color="auto" w:fill="FFFFFF"/>
            <w:noWrap/>
            <w:vAlign w:val="bottom"/>
            <w:hideMark/>
          </w:tcPr>
          <w:p w14:paraId="1E8E3A63"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84.6</w:t>
            </w:r>
          </w:p>
        </w:tc>
      </w:tr>
      <w:tr w:rsidR="006B6726" w14:paraId="1A63E718" w14:textId="77777777" w:rsidTr="006B6726">
        <w:trPr>
          <w:trHeight w:val="300"/>
          <w:jc w:val="center"/>
        </w:trPr>
        <w:tc>
          <w:tcPr>
            <w:tcW w:w="1200" w:type="dxa"/>
            <w:shd w:val="clear" w:color="auto" w:fill="FFFFFF"/>
            <w:noWrap/>
            <w:vAlign w:val="bottom"/>
            <w:hideMark/>
          </w:tcPr>
          <w:p w14:paraId="4F3FAC3B"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2695</w:t>
            </w:r>
          </w:p>
        </w:tc>
        <w:tc>
          <w:tcPr>
            <w:tcW w:w="1200" w:type="dxa"/>
            <w:shd w:val="clear" w:color="auto" w:fill="FFFFFF"/>
            <w:noWrap/>
            <w:vAlign w:val="bottom"/>
            <w:hideMark/>
          </w:tcPr>
          <w:p w14:paraId="58BF30A5"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39BA0248"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2.15</w:t>
            </w:r>
          </w:p>
        </w:tc>
        <w:tc>
          <w:tcPr>
            <w:tcW w:w="1701" w:type="dxa"/>
            <w:shd w:val="clear" w:color="auto" w:fill="FFFFFF"/>
            <w:noWrap/>
            <w:vAlign w:val="bottom"/>
            <w:hideMark/>
          </w:tcPr>
          <w:p w14:paraId="2FF663EA"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75.6</w:t>
            </w:r>
          </w:p>
        </w:tc>
      </w:tr>
      <w:tr w:rsidR="006B6726" w14:paraId="0C23B25A" w14:textId="77777777" w:rsidTr="006B6726">
        <w:trPr>
          <w:trHeight w:val="300"/>
          <w:jc w:val="center"/>
        </w:trPr>
        <w:tc>
          <w:tcPr>
            <w:tcW w:w="1200" w:type="dxa"/>
            <w:shd w:val="clear" w:color="auto" w:fill="FFFFFF"/>
            <w:noWrap/>
            <w:vAlign w:val="bottom"/>
            <w:hideMark/>
          </w:tcPr>
          <w:p w14:paraId="05A54A74"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2708</w:t>
            </w:r>
          </w:p>
        </w:tc>
        <w:tc>
          <w:tcPr>
            <w:tcW w:w="1200" w:type="dxa"/>
            <w:shd w:val="clear" w:color="auto" w:fill="FFFFFF"/>
            <w:noWrap/>
            <w:vAlign w:val="bottom"/>
            <w:hideMark/>
          </w:tcPr>
          <w:p w14:paraId="3126099A"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1B4B1B09"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2.16</w:t>
            </w:r>
          </w:p>
        </w:tc>
        <w:tc>
          <w:tcPr>
            <w:tcW w:w="1701" w:type="dxa"/>
            <w:shd w:val="clear" w:color="auto" w:fill="FFFFFF"/>
            <w:noWrap/>
            <w:vAlign w:val="bottom"/>
            <w:hideMark/>
          </w:tcPr>
          <w:p w14:paraId="2B58E3B0"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76.8</w:t>
            </w:r>
          </w:p>
        </w:tc>
      </w:tr>
      <w:tr w:rsidR="006B6726" w14:paraId="6EDE3E45" w14:textId="77777777" w:rsidTr="006B6726">
        <w:trPr>
          <w:trHeight w:val="300"/>
          <w:jc w:val="center"/>
        </w:trPr>
        <w:tc>
          <w:tcPr>
            <w:tcW w:w="1200" w:type="dxa"/>
            <w:shd w:val="clear" w:color="auto" w:fill="FFFFFF"/>
            <w:noWrap/>
            <w:vAlign w:val="bottom"/>
            <w:hideMark/>
          </w:tcPr>
          <w:p w14:paraId="507DF140"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2709</w:t>
            </w:r>
          </w:p>
        </w:tc>
        <w:tc>
          <w:tcPr>
            <w:tcW w:w="1200" w:type="dxa"/>
            <w:shd w:val="clear" w:color="auto" w:fill="FFFFFF"/>
            <w:noWrap/>
            <w:vAlign w:val="bottom"/>
            <w:hideMark/>
          </w:tcPr>
          <w:p w14:paraId="0A9CF3D4"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4242BBBF"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2.07</w:t>
            </w:r>
          </w:p>
        </w:tc>
        <w:tc>
          <w:tcPr>
            <w:tcW w:w="1701" w:type="dxa"/>
            <w:shd w:val="clear" w:color="auto" w:fill="FFFFFF"/>
            <w:noWrap/>
            <w:vAlign w:val="bottom"/>
            <w:hideMark/>
          </w:tcPr>
          <w:p w14:paraId="15295CEA"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59.4</w:t>
            </w:r>
          </w:p>
        </w:tc>
      </w:tr>
      <w:tr w:rsidR="006B6726" w14:paraId="2D0A9EFE" w14:textId="77777777" w:rsidTr="006B6726">
        <w:trPr>
          <w:trHeight w:val="300"/>
          <w:jc w:val="center"/>
        </w:trPr>
        <w:tc>
          <w:tcPr>
            <w:tcW w:w="1200" w:type="dxa"/>
            <w:shd w:val="clear" w:color="auto" w:fill="FFFFFF"/>
            <w:noWrap/>
            <w:vAlign w:val="bottom"/>
            <w:hideMark/>
          </w:tcPr>
          <w:p w14:paraId="5F07BEEC"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2712</w:t>
            </w:r>
          </w:p>
        </w:tc>
        <w:tc>
          <w:tcPr>
            <w:tcW w:w="1200" w:type="dxa"/>
            <w:shd w:val="clear" w:color="auto" w:fill="FFFFFF"/>
            <w:noWrap/>
            <w:vAlign w:val="bottom"/>
            <w:hideMark/>
          </w:tcPr>
          <w:p w14:paraId="47344644"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3B787313"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2.12</w:t>
            </w:r>
          </w:p>
        </w:tc>
        <w:tc>
          <w:tcPr>
            <w:tcW w:w="1701" w:type="dxa"/>
            <w:shd w:val="clear" w:color="auto" w:fill="FFFFFF"/>
            <w:noWrap/>
            <w:vAlign w:val="bottom"/>
            <w:hideMark/>
          </w:tcPr>
          <w:p w14:paraId="16E3679D"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69.6</w:t>
            </w:r>
          </w:p>
        </w:tc>
      </w:tr>
      <w:tr w:rsidR="006B6726" w14:paraId="090CA66D" w14:textId="77777777" w:rsidTr="006B6726">
        <w:trPr>
          <w:trHeight w:val="300"/>
          <w:jc w:val="center"/>
        </w:trPr>
        <w:tc>
          <w:tcPr>
            <w:tcW w:w="1200" w:type="dxa"/>
            <w:shd w:val="clear" w:color="auto" w:fill="FFFFFF"/>
            <w:noWrap/>
            <w:vAlign w:val="bottom"/>
            <w:hideMark/>
          </w:tcPr>
          <w:p w14:paraId="0B824F84"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2715</w:t>
            </w:r>
          </w:p>
        </w:tc>
        <w:tc>
          <w:tcPr>
            <w:tcW w:w="1200" w:type="dxa"/>
            <w:shd w:val="clear" w:color="auto" w:fill="FFFFFF"/>
            <w:noWrap/>
            <w:vAlign w:val="bottom"/>
            <w:hideMark/>
          </w:tcPr>
          <w:p w14:paraId="21313B3E"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78BA8D84"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2.40</w:t>
            </w:r>
          </w:p>
        </w:tc>
        <w:tc>
          <w:tcPr>
            <w:tcW w:w="1701" w:type="dxa"/>
            <w:shd w:val="clear" w:color="auto" w:fill="FFFFFF"/>
            <w:noWrap/>
            <w:vAlign w:val="bottom"/>
            <w:hideMark/>
          </w:tcPr>
          <w:p w14:paraId="27D3F28C"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142.2</w:t>
            </w:r>
          </w:p>
        </w:tc>
      </w:tr>
      <w:tr w:rsidR="006B6726" w14:paraId="09714709" w14:textId="77777777" w:rsidTr="006B6726">
        <w:trPr>
          <w:trHeight w:val="300"/>
          <w:jc w:val="center"/>
        </w:trPr>
        <w:tc>
          <w:tcPr>
            <w:tcW w:w="1200" w:type="dxa"/>
            <w:shd w:val="clear" w:color="auto" w:fill="FFFFFF"/>
            <w:noWrap/>
            <w:vAlign w:val="bottom"/>
            <w:hideMark/>
          </w:tcPr>
          <w:p w14:paraId="4559549A"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2717</w:t>
            </w:r>
          </w:p>
        </w:tc>
        <w:tc>
          <w:tcPr>
            <w:tcW w:w="1200" w:type="dxa"/>
            <w:shd w:val="clear" w:color="auto" w:fill="FFFFFF"/>
            <w:noWrap/>
            <w:vAlign w:val="bottom"/>
            <w:hideMark/>
          </w:tcPr>
          <w:p w14:paraId="0F0F69D8"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5D5C4B66"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2.32</w:t>
            </w:r>
          </w:p>
        </w:tc>
        <w:tc>
          <w:tcPr>
            <w:tcW w:w="1701" w:type="dxa"/>
            <w:shd w:val="clear" w:color="auto" w:fill="FFFFFF"/>
            <w:noWrap/>
            <w:vAlign w:val="bottom"/>
            <w:hideMark/>
          </w:tcPr>
          <w:p w14:paraId="38C57048"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115.7</w:t>
            </w:r>
          </w:p>
        </w:tc>
      </w:tr>
      <w:tr w:rsidR="006B6726" w14:paraId="3E2CC544" w14:textId="77777777" w:rsidTr="006B6726">
        <w:trPr>
          <w:trHeight w:val="300"/>
          <w:jc w:val="center"/>
        </w:trPr>
        <w:tc>
          <w:tcPr>
            <w:tcW w:w="1200" w:type="dxa"/>
            <w:shd w:val="clear" w:color="auto" w:fill="FFFFFF"/>
            <w:noWrap/>
            <w:vAlign w:val="bottom"/>
            <w:hideMark/>
          </w:tcPr>
          <w:p w14:paraId="59BEE5AE"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2725</w:t>
            </w:r>
          </w:p>
        </w:tc>
        <w:tc>
          <w:tcPr>
            <w:tcW w:w="1200" w:type="dxa"/>
            <w:shd w:val="clear" w:color="auto" w:fill="FFFFFF"/>
            <w:noWrap/>
            <w:vAlign w:val="bottom"/>
            <w:hideMark/>
          </w:tcPr>
          <w:p w14:paraId="0B7E3402"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039DE482"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2.01</w:t>
            </w:r>
          </w:p>
        </w:tc>
        <w:tc>
          <w:tcPr>
            <w:tcW w:w="1701" w:type="dxa"/>
            <w:shd w:val="clear" w:color="auto" w:fill="FFFFFF"/>
            <w:noWrap/>
            <w:vAlign w:val="bottom"/>
            <w:hideMark/>
          </w:tcPr>
          <w:p w14:paraId="5B53F00B"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50.4</w:t>
            </w:r>
          </w:p>
        </w:tc>
      </w:tr>
      <w:tr w:rsidR="006B6726" w14:paraId="798EA55C" w14:textId="77777777" w:rsidTr="006B6726">
        <w:trPr>
          <w:trHeight w:val="300"/>
          <w:jc w:val="center"/>
        </w:trPr>
        <w:tc>
          <w:tcPr>
            <w:tcW w:w="1200" w:type="dxa"/>
            <w:shd w:val="clear" w:color="auto" w:fill="FFFFFF"/>
            <w:noWrap/>
            <w:vAlign w:val="bottom"/>
            <w:hideMark/>
          </w:tcPr>
          <w:p w14:paraId="5698916D"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2726</w:t>
            </w:r>
          </w:p>
        </w:tc>
        <w:tc>
          <w:tcPr>
            <w:tcW w:w="1200" w:type="dxa"/>
            <w:shd w:val="clear" w:color="auto" w:fill="FFFFFF"/>
            <w:noWrap/>
            <w:vAlign w:val="bottom"/>
            <w:hideMark/>
          </w:tcPr>
          <w:p w14:paraId="360FE6A1"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1B0F74C6"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2.19</w:t>
            </w:r>
          </w:p>
        </w:tc>
        <w:tc>
          <w:tcPr>
            <w:tcW w:w="1701" w:type="dxa"/>
            <w:shd w:val="clear" w:color="auto" w:fill="FFFFFF"/>
            <w:noWrap/>
            <w:vAlign w:val="bottom"/>
            <w:hideMark/>
          </w:tcPr>
          <w:p w14:paraId="3AFF91F1"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82.6</w:t>
            </w:r>
          </w:p>
        </w:tc>
      </w:tr>
      <w:tr w:rsidR="006B6726" w14:paraId="65DFB59C" w14:textId="77777777" w:rsidTr="006B6726">
        <w:trPr>
          <w:trHeight w:val="300"/>
          <w:jc w:val="center"/>
        </w:trPr>
        <w:tc>
          <w:tcPr>
            <w:tcW w:w="1200" w:type="dxa"/>
            <w:shd w:val="clear" w:color="auto" w:fill="FFFFFF"/>
            <w:noWrap/>
            <w:vAlign w:val="bottom"/>
            <w:hideMark/>
          </w:tcPr>
          <w:p w14:paraId="706AC051"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2729</w:t>
            </w:r>
          </w:p>
        </w:tc>
        <w:tc>
          <w:tcPr>
            <w:tcW w:w="1200" w:type="dxa"/>
            <w:shd w:val="clear" w:color="auto" w:fill="FFFFFF"/>
            <w:noWrap/>
            <w:vAlign w:val="bottom"/>
            <w:hideMark/>
          </w:tcPr>
          <w:p w14:paraId="4A60D40B"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7FB38422"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2.22</w:t>
            </w:r>
          </w:p>
        </w:tc>
        <w:tc>
          <w:tcPr>
            <w:tcW w:w="1701" w:type="dxa"/>
            <w:shd w:val="clear" w:color="auto" w:fill="FFFFFF"/>
            <w:noWrap/>
            <w:vAlign w:val="bottom"/>
            <w:hideMark/>
          </w:tcPr>
          <w:p w14:paraId="24E0F9E6"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89.7</w:t>
            </w:r>
          </w:p>
        </w:tc>
      </w:tr>
      <w:tr w:rsidR="006B6726" w14:paraId="27644178" w14:textId="77777777" w:rsidTr="006B6726">
        <w:trPr>
          <w:trHeight w:val="300"/>
          <w:jc w:val="center"/>
        </w:trPr>
        <w:tc>
          <w:tcPr>
            <w:tcW w:w="1200" w:type="dxa"/>
            <w:shd w:val="clear" w:color="auto" w:fill="FFFFFF"/>
            <w:noWrap/>
            <w:vAlign w:val="bottom"/>
            <w:hideMark/>
          </w:tcPr>
          <w:p w14:paraId="5246FF55"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2730</w:t>
            </w:r>
          </w:p>
        </w:tc>
        <w:tc>
          <w:tcPr>
            <w:tcW w:w="1200" w:type="dxa"/>
            <w:shd w:val="clear" w:color="auto" w:fill="FFFFFF"/>
            <w:noWrap/>
            <w:vAlign w:val="bottom"/>
            <w:hideMark/>
          </w:tcPr>
          <w:p w14:paraId="08BE3BAB"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0503D628"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2.08</w:t>
            </w:r>
          </w:p>
        </w:tc>
        <w:tc>
          <w:tcPr>
            <w:tcW w:w="1701" w:type="dxa"/>
            <w:shd w:val="clear" w:color="auto" w:fill="FFFFFF"/>
            <w:noWrap/>
            <w:vAlign w:val="bottom"/>
            <w:hideMark/>
          </w:tcPr>
          <w:p w14:paraId="7F3B777F"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61.8</w:t>
            </w:r>
          </w:p>
        </w:tc>
      </w:tr>
      <w:tr w:rsidR="006B6726" w14:paraId="4E0C367F" w14:textId="77777777" w:rsidTr="006B6726">
        <w:trPr>
          <w:trHeight w:val="300"/>
          <w:jc w:val="center"/>
        </w:trPr>
        <w:tc>
          <w:tcPr>
            <w:tcW w:w="1200" w:type="dxa"/>
            <w:shd w:val="clear" w:color="auto" w:fill="FFFFFF"/>
            <w:noWrap/>
            <w:vAlign w:val="bottom"/>
            <w:hideMark/>
          </w:tcPr>
          <w:p w14:paraId="4C3055A9"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2731</w:t>
            </w:r>
          </w:p>
        </w:tc>
        <w:tc>
          <w:tcPr>
            <w:tcW w:w="1200" w:type="dxa"/>
            <w:shd w:val="clear" w:color="auto" w:fill="FFFFFF"/>
            <w:noWrap/>
            <w:vAlign w:val="bottom"/>
            <w:hideMark/>
          </w:tcPr>
          <w:p w14:paraId="75530FA7"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0E8C8304"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2.06</w:t>
            </w:r>
          </w:p>
        </w:tc>
        <w:tc>
          <w:tcPr>
            <w:tcW w:w="1701" w:type="dxa"/>
            <w:shd w:val="clear" w:color="auto" w:fill="FFFFFF"/>
            <w:noWrap/>
            <w:vAlign w:val="bottom"/>
            <w:hideMark/>
          </w:tcPr>
          <w:p w14:paraId="3F8AE1FB"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58.7</w:t>
            </w:r>
          </w:p>
        </w:tc>
      </w:tr>
      <w:tr w:rsidR="006B6726" w14:paraId="4C1F2679" w14:textId="77777777" w:rsidTr="006B6726">
        <w:trPr>
          <w:trHeight w:val="300"/>
          <w:jc w:val="center"/>
        </w:trPr>
        <w:tc>
          <w:tcPr>
            <w:tcW w:w="1200" w:type="dxa"/>
            <w:shd w:val="clear" w:color="auto" w:fill="FFFFFF"/>
            <w:noWrap/>
            <w:vAlign w:val="bottom"/>
            <w:hideMark/>
          </w:tcPr>
          <w:p w14:paraId="45937795"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2733</w:t>
            </w:r>
          </w:p>
        </w:tc>
        <w:tc>
          <w:tcPr>
            <w:tcW w:w="1200" w:type="dxa"/>
            <w:shd w:val="clear" w:color="auto" w:fill="FFFFFF"/>
            <w:noWrap/>
            <w:vAlign w:val="bottom"/>
            <w:hideMark/>
          </w:tcPr>
          <w:p w14:paraId="455F79FA"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7AD74668"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2.11</w:t>
            </w:r>
          </w:p>
        </w:tc>
        <w:tc>
          <w:tcPr>
            <w:tcW w:w="1701" w:type="dxa"/>
            <w:shd w:val="clear" w:color="auto" w:fill="FFFFFF"/>
            <w:noWrap/>
            <w:vAlign w:val="bottom"/>
            <w:hideMark/>
          </w:tcPr>
          <w:p w14:paraId="2FB4F4C6"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66.8</w:t>
            </w:r>
          </w:p>
        </w:tc>
      </w:tr>
      <w:tr w:rsidR="006B6726" w14:paraId="3034CC80" w14:textId="77777777" w:rsidTr="006B6726">
        <w:trPr>
          <w:trHeight w:val="300"/>
          <w:jc w:val="center"/>
        </w:trPr>
        <w:tc>
          <w:tcPr>
            <w:tcW w:w="1200" w:type="dxa"/>
            <w:shd w:val="clear" w:color="auto" w:fill="FFFFFF"/>
            <w:noWrap/>
            <w:vAlign w:val="bottom"/>
            <w:hideMark/>
          </w:tcPr>
          <w:p w14:paraId="6213C1ED"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2736</w:t>
            </w:r>
          </w:p>
        </w:tc>
        <w:tc>
          <w:tcPr>
            <w:tcW w:w="1200" w:type="dxa"/>
            <w:shd w:val="clear" w:color="auto" w:fill="FFFFFF"/>
            <w:noWrap/>
            <w:vAlign w:val="bottom"/>
            <w:hideMark/>
          </w:tcPr>
          <w:p w14:paraId="2B03965D"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43AC2B87"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2.22</w:t>
            </w:r>
          </w:p>
        </w:tc>
        <w:tc>
          <w:tcPr>
            <w:tcW w:w="1701" w:type="dxa"/>
            <w:shd w:val="clear" w:color="auto" w:fill="FFFFFF"/>
            <w:noWrap/>
            <w:vAlign w:val="bottom"/>
            <w:hideMark/>
          </w:tcPr>
          <w:p w14:paraId="3F0EA74B"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90.9</w:t>
            </w:r>
          </w:p>
        </w:tc>
      </w:tr>
      <w:tr w:rsidR="006B6726" w14:paraId="0D361F5F" w14:textId="77777777" w:rsidTr="006B6726">
        <w:trPr>
          <w:trHeight w:val="300"/>
          <w:jc w:val="center"/>
        </w:trPr>
        <w:tc>
          <w:tcPr>
            <w:tcW w:w="1200" w:type="dxa"/>
            <w:shd w:val="clear" w:color="auto" w:fill="FFFFFF"/>
            <w:noWrap/>
            <w:vAlign w:val="bottom"/>
            <w:hideMark/>
          </w:tcPr>
          <w:p w14:paraId="749625AF"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MPGJ 2655</w:t>
            </w:r>
          </w:p>
        </w:tc>
        <w:tc>
          <w:tcPr>
            <w:tcW w:w="1200" w:type="dxa"/>
            <w:shd w:val="clear" w:color="auto" w:fill="FFFFFF"/>
            <w:noWrap/>
            <w:vAlign w:val="bottom"/>
            <w:hideMark/>
          </w:tcPr>
          <w:p w14:paraId="3F30ACF3"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GTO 19</w:t>
            </w:r>
          </w:p>
        </w:tc>
        <w:tc>
          <w:tcPr>
            <w:tcW w:w="1281" w:type="dxa"/>
            <w:shd w:val="clear" w:color="auto" w:fill="FFFFFF"/>
            <w:noWrap/>
            <w:vAlign w:val="bottom"/>
            <w:hideMark/>
          </w:tcPr>
          <w:p w14:paraId="4967C237"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2.18</w:t>
            </w:r>
          </w:p>
        </w:tc>
        <w:tc>
          <w:tcPr>
            <w:tcW w:w="1701" w:type="dxa"/>
            <w:shd w:val="clear" w:color="auto" w:fill="FFFFFF"/>
            <w:noWrap/>
            <w:vAlign w:val="bottom"/>
            <w:hideMark/>
          </w:tcPr>
          <w:p w14:paraId="2C928CF3" w14:textId="77777777" w:rsidR="006B6726" w:rsidRDefault="006B6726">
            <w:pPr>
              <w:spacing w:after="0" w:line="240" w:lineRule="auto"/>
              <w:jc w:val="center"/>
              <w:rPr>
                <w:rFonts w:ascii="Calibri" w:eastAsia="Times New Roman" w:hAnsi="Calibri" w:cs="Calibri"/>
                <w:color w:val="000000"/>
                <w:kern w:val="0"/>
                <w:lang w:eastAsia="es-MX"/>
                <w14:ligatures w14:val="none"/>
              </w:rPr>
            </w:pPr>
            <w:r>
              <w:rPr>
                <w:rFonts w:ascii="Calibri" w:eastAsia="Times New Roman" w:hAnsi="Calibri" w:cs="Calibri"/>
                <w:color w:val="000000"/>
                <w:kern w:val="0"/>
                <w:lang w:eastAsia="es-MX"/>
                <w14:ligatures w14:val="none"/>
              </w:rPr>
              <w:t>81.7</w:t>
            </w:r>
          </w:p>
        </w:tc>
      </w:tr>
    </w:tbl>
    <w:p w14:paraId="705E31DC" w14:textId="77777777" w:rsidR="006B6726" w:rsidRDefault="006B6726" w:rsidP="006B6726">
      <w:pPr>
        <w:ind w:firstLine="567"/>
        <w:rPr>
          <w:lang w:val="en-US"/>
        </w:rPr>
      </w:pPr>
    </w:p>
    <w:p w14:paraId="76D8A618" w14:textId="77777777" w:rsidR="00AD1398" w:rsidRPr="006B6726" w:rsidRDefault="00AD1398" w:rsidP="006B6726"/>
    <w:sectPr w:rsidR="00AD1398" w:rsidRPr="006B67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B58"/>
    <w:rsid w:val="005374DE"/>
    <w:rsid w:val="006B6726"/>
    <w:rsid w:val="00875B58"/>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9B898"/>
  <w15:chartTrackingRefBased/>
  <w15:docId w15:val="{4D741E06-F49A-4411-B46A-F1C27F69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B58"/>
    <w:pPr>
      <w:spacing w:line="256" w:lineRule="auto"/>
    </w:pPr>
    <w:rPr>
      <w:lang w:val="es-MX"/>
    </w:rPr>
  </w:style>
  <w:style w:type="paragraph" w:styleId="Heading1">
    <w:name w:val="heading 1"/>
    <w:basedOn w:val="Normal"/>
    <w:next w:val="Normal"/>
    <w:link w:val="Heading1Char"/>
    <w:uiPriority w:val="9"/>
    <w:qFormat/>
    <w:rsid w:val="006B67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726"/>
    <w:rPr>
      <w:rFonts w:asciiTheme="majorHAnsi" w:eastAsiaTheme="majorEastAsia" w:hAnsiTheme="majorHAnsi" w:cstheme="majorBidi"/>
      <w:color w:val="2F5496" w:themeColor="accent1" w:themeShade="BF"/>
      <w:sz w:val="32"/>
      <w:szCs w:val="3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945594">
      <w:bodyDiv w:val="1"/>
      <w:marLeft w:val="0"/>
      <w:marRight w:val="0"/>
      <w:marTop w:val="0"/>
      <w:marBottom w:val="0"/>
      <w:divBdr>
        <w:top w:val="none" w:sz="0" w:space="0" w:color="auto"/>
        <w:left w:val="none" w:sz="0" w:space="0" w:color="auto"/>
        <w:bottom w:val="none" w:sz="0" w:space="0" w:color="auto"/>
        <w:right w:val="none" w:sz="0" w:space="0" w:color="auto"/>
      </w:divBdr>
    </w:div>
    <w:div w:id="201877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7282573984804697957241A60C1D52" ma:contentTypeVersion="4" ma:contentTypeDescription="Create a new document." ma:contentTypeScope="" ma:versionID="f4576ec8e53128329a62cedd3b4995fb">
  <xsd:schema xmlns:xsd="http://www.w3.org/2001/XMLSchema" xmlns:xs="http://www.w3.org/2001/XMLSchema" xmlns:p="http://schemas.microsoft.com/office/2006/metadata/properties" xmlns:ns3="9ee413a3-7d99-4592-b546-82d8fd7fda0f" targetNamespace="http://schemas.microsoft.com/office/2006/metadata/properties" ma:root="true" ma:fieldsID="a72cebf79b3122c14f4e4e1854dc759a" ns3:_="">
    <xsd:import namespace="9ee413a3-7d99-4592-b546-82d8fd7fda0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413a3-7d99-4592-b546-82d8fd7fd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EA575-116D-43CB-9B52-CA06D3D62F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C486EF-B0CB-427E-A0EA-DED15EBFBB36}">
  <ds:schemaRefs>
    <ds:schemaRef ds:uri="http://schemas.microsoft.com/sharepoint/v3/contenttype/forms"/>
  </ds:schemaRefs>
</ds:datastoreItem>
</file>

<file path=customXml/itemProps3.xml><?xml version="1.0" encoding="utf-8"?>
<ds:datastoreItem xmlns:ds="http://schemas.openxmlformats.org/officeDocument/2006/customXml" ds:itemID="{9274A3CF-35C6-49B2-A3FD-5AFBD63E2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413a3-7d99-4592-b546-82d8fd7fd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862</Words>
  <Characters>4916</Characters>
  <Application>Microsoft Office Word</Application>
  <DocSecurity>0</DocSecurity>
  <Lines>40</Lines>
  <Paragraphs>11</Paragraphs>
  <ScaleCrop>false</ScaleCrop>
  <Company>Springer Nature</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3</cp:revision>
  <dcterms:created xsi:type="dcterms:W3CDTF">2024-01-23T11:53:00Z</dcterms:created>
  <dcterms:modified xsi:type="dcterms:W3CDTF">2024-01-23T11:56:00Z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0x010100517282573984804697957241A60C1D52</vt:lpwstr>
  </property>
</Properties>
</file>