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F9CEF" w14:textId="4E7C47B3" w:rsidR="001C2DBB" w:rsidRDefault="005754EA" w:rsidP="00417C4B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411DB3">
        <w:rPr>
          <w:rFonts w:ascii="Times New Roman" w:eastAsia="Times New Roman" w:hAnsi="Times New Roman" w:cs="Times New Roman"/>
          <w:b/>
        </w:rPr>
        <w:t xml:space="preserve">Impact of </w:t>
      </w:r>
      <w:r w:rsidRPr="00411DB3">
        <w:rPr>
          <w:rFonts w:ascii="Times New Roman" w:eastAsia="Times New Roman" w:hAnsi="Times New Roman" w:cs="Times New Roman"/>
          <w:b/>
          <w:i/>
          <w:iCs/>
        </w:rPr>
        <w:t>Cymbopogon flexuosus</w:t>
      </w:r>
      <w:r w:rsidRPr="00411DB3">
        <w:rPr>
          <w:rFonts w:ascii="Times New Roman" w:eastAsia="Times New Roman" w:hAnsi="Times New Roman" w:cs="Times New Roman"/>
          <w:b/>
        </w:rPr>
        <w:t xml:space="preserve"> (Poaceae) essential oil and primary components on the eclosion and larval development of </w:t>
      </w:r>
      <w:r w:rsidRPr="00411DB3">
        <w:rPr>
          <w:rFonts w:ascii="Times New Roman" w:eastAsia="Times New Roman" w:hAnsi="Times New Roman" w:cs="Times New Roman"/>
          <w:b/>
          <w:i/>
          <w:iCs/>
        </w:rPr>
        <w:t>Aedes aegypti</w:t>
      </w:r>
    </w:p>
    <w:p w14:paraId="10D78728" w14:textId="77777777" w:rsidR="005754EA" w:rsidRDefault="005754EA" w:rsidP="00417C4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2823B2E" w14:textId="29250996" w:rsidR="001C2DBB" w:rsidRDefault="001C2DBB" w:rsidP="001C2DB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</w:pPr>
      <w:r w:rsidRPr="0060393E"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  <w:t>Ruth Mariela Castillo-Morales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s-CO"/>
        </w:rPr>
        <w:t>1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  <w:t>, Sugey Ortiz Serrano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s-CO"/>
        </w:rPr>
        <w:t>1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  <w:t>, Adriana Lisseth Rodríguez Villamizar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s-CO"/>
        </w:rPr>
        <w:t>2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  <w:t>, Stelia Carolina Mendez-Sanchez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s-CO"/>
        </w:rPr>
        <w:t>2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  <w:t>*, Jonny E. Duque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s-CO"/>
        </w:rPr>
        <w:t>1</w:t>
      </w:r>
      <w:r w:rsidRPr="0060393E"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  <w:t>*</w:t>
      </w:r>
    </w:p>
    <w:p w14:paraId="0CED89F9" w14:textId="45533973" w:rsidR="001C2DBB" w:rsidRDefault="001C2DBB" w:rsidP="001C2DB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s-CO"/>
        </w:rPr>
      </w:pPr>
    </w:p>
    <w:p w14:paraId="512CF1A0" w14:textId="77777777" w:rsidR="001C2DBB" w:rsidRPr="0060393E" w:rsidRDefault="001C2DBB" w:rsidP="001C2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CO"/>
        </w:rPr>
      </w:pPr>
      <w:r w:rsidRPr="0060393E">
        <w:rPr>
          <w:rFonts w:ascii="Times New Roman" w:eastAsia="Times New Roman" w:hAnsi="Times New Roman" w:cs="Times New Roman"/>
          <w:sz w:val="20"/>
          <w:szCs w:val="20"/>
          <w:lang w:val="es-CO"/>
        </w:rPr>
        <w:t>1. Centro de Investigaciones en Enfermedades Tropicales - CINTROP. Facultad de Salud. Escuela de Medicina, Departamento de Ciencias Básicas, Universidad Industrial de Santander, Guatiguará Technology and Research Park, Km 2 Vía El Refugio, Piedecuesta, Santander, Colombia. Phone number: 57-7-6344000 Ext. 3503</w:t>
      </w:r>
      <w:r w:rsidRPr="0060393E">
        <w:rPr>
          <w:rFonts w:ascii="Times New Roman" w:eastAsia="Times New Roman" w:hAnsi="Times New Roman" w:cs="Times New Roman"/>
          <w:sz w:val="20"/>
          <w:szCs w:val="20"/>
          <w:lang w:val="es-CO"/>
        </w:rPr>
        <w:tab/>
      </w:r>
      <w:r w:rsidRPr="0060393E">
        <w:rPr>
          <w:rFonts w:ascii="Times New Roman" w:eastAsia="Times New Roman" w:hAnsi="Times New Roman" w:cs="Times New Roman"/>
          <w:sz w:val="20"/>
          <w:szCs w:val="20"/>
          <w:lang w:val="es-CO"/>
        </w:rPr>
        <w:tab/>
      </w:r>
    </w:p>
    <w:p w14:paraId="443E56EC" w14:textId="77777777" w:rsidR="001C2DBB" w:rsidRPr="0060393E" w:rsidRDefault="001C2DBB" w:rsidP="001C2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CO"/>
        </w:rPr>
      </w:pPr>
      <w:r w:rsidRPr="0060393E">
        <w:rPr>
          <w:rFonts w:ascii="Times New Roman" w:eastAsia="Times New Roman" w:hAnsi="Times New Roman" w:cs="Times New Roman"/>
          <w:sz w:val="20"/>
          <w:szCs w:val="20"/>
          <w:lang w:val="es-CO"/>
        </w:rPr>
        <w:t>2. Grupo de Investigación en Bioquímica y Microbiología (GIBIM). Escuela de Química, Universidad Industrial de Santander, Bucaramanga A.A. 678, Colombia</w:t>
      </w:r>
    </w:p>
    <w:p w14:paraId="269986BC" w14:textId="77777777" w:rsidR="001C2DBB" w:rsidRPr="0060393E" w:rsidRDefault="001C2DBB" w:rsidP="001C2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0393E">
        <w:rPr>
          <w:rFonts w:ascii="Times New Roman" w:eastAsia="Times New Roman" w:hAnsi="Times New Roman" w:cs="Times New Roman"/>
          <w:sz w:val="20"/>
          <w:szCs w:val="20"/>
        </w:rPr>
        <w:t xml:space="preserve">*Corresponding Author: </w:t>
      </w:r>
      <w:hyperlink r:id="rId5">
        <w:r w:rsidRPr="0060393E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jonedulu@uis.edu.co</w:t>
        </w:r>
      </w:hyperlink>
    </w:p>
    <w:p w14:paraId="24CFC107" w14:textId="77777777" w:rsidR="001C2DBB" w:rsidRPr="001C2DBB" w:rsidRDefault="001C2DBB" w:rsidP="001C2DB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A0172D7" w14:textId="77777777" w:rsidR="001C2DBB" w:rsidRPr="001C2DBB" w:rsidRDefault="001C2DBB" w:rsidP="00417C4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BA7E87" w14:textId="77777777" w:rsidR="00417C4B" w:rsidRPr="001C2DBB" w:rsidRDefault="00417C4B" w:rsidP="00417C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4F85B74" w14:textId="77F5F4BA" w:rsidR="00517D22" w:rsidRDefault="00352E42" w:rsidP="00417C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4304867F" wp14:editId="1FA87FDE">
            <wp:extent cx="5305425" cy="2291080"/>
            <wp:effectExtent l="0" t="0" r="0" b="0"/>
            <wp:docPr id="3587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725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291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D97191" w14:textId="297DFE0F" w:rsidR="00517D22" w:rsidRDefault="00352E42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Supplementary </w:t>
      </w:r>
      <w:r>
        <w:rPr>
          <w:rFonts w:ascii="Times New Roman" w:eastAsia="Times New Roman" w:hAnsi="Times New Roman" w:cs="Times New Roman"/>
          <w:b/>
        </w:rPr>
        <w:t>Figure 1.</w:t>
      </w:r>
      <w:r>
        <w:rPr>
          <w:rFonts w:ascii="Times New Roman" w:eastAsia="Times New Roman" w:hAnsi="Times New Roman" w:cs="Times New Roman"/>
        </w:rPr>
        <w:t xml:space="preserve"> Molt Hormone (MH) HPLC-Mass spectrometry chromatograms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without treatment. Y-axes: signal intensity (mAU). X-axes: retention time in minutes. </w:t>
      </w:r>
      <w:r>
        <w:rPr>
          <w:rFonts w:ascii="Times New Roman" w:eastAsia="Times New Roman" w:hAnsi="Times New Roman" w:cs="Times New Roman"/>
          <w:b/>
        </w:rPr>
        <w:t>a.</w:t>
      </w:r>
      <w:r>
        <w:rPr>
          <w:rFonts w:ascii="Times New Roman" w:eastAsia="Times New Roman" w:hAnsi="Times New Roman" w:cs="Times New Roman"/>
        </w:rPr>
        <w:t xml:space="preserve"> Methanol-water mobile phase chromatogram. The retention time of 6.77 min, molecular mass detected by the mass spectrometer: 481.1 g.mol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 xml:space="preserve">. </w:t>
      </w:r>
    </w:p>
    <w:p w14:paraId="61883EC5" w14:textId="77777777" w:rsidR="00417C4B" w:rsidRDefault="00417C4B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E6AE68" w14:textId="77777777" w:rsidR="00517D22" w:rsidRDefault="00352E42" w:rsidP="00417C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1E3E374D" wp14:editId="53DC3BAB">
            <wp:extent cx="5276850" cy="1862455"/>
            <wp:effectExtent l="0" t="0" r="0" b="0"/>
            <wp:docPr id="3587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5160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862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BD8075" w14:textId="0ED5BAC4" w:rsidR="00517D22" w:rsidRDefault="00352E42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Supplementary </w:t>
      </w:r>
      <w:r>
        <w:rPr>
          <w:rFonts w:ascii="Times New Roman" w:eastAsia="Times New Roman" w:hAnsi="Times New Roman" w:cs="Times New Roman"/>
          <w:b/>
        </w:rPr>
        <w:t>Figure 2.</w:t>
      </w:r>
      <w:r>
        <w:rPr>
          <w:rFonts w:ascii="Times New Roman" w:eastAsia="Times New Roman" w:hAnsi="Times New Roman" w:cs="Times New Roman"/>
        </w:rPr>
        <w:t xml:space="preserve"> Juvenile hormone III (JH III) HPLC-Mass spectrometry chromatograms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without treatment. Y-axes: signal intensity (mAU). X-axes: retention time in minutes. a. Methanol-water mobile phase chromatogram. The retention time of 9.86 min. b. Acetonitrile (ACN)-water mobile phase chromatogram. The retention time of 10.06 min, molecular mass detected by the mass spectrometer: 481.1 g.mol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>.</w:t>
      </w:r>
    </w:p>
    <w:p w14:paraId="7AF5D693" w14:textId="77777777" w:rsidR="00517D22" w:rsidRDefault="00352E42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114300" distB="114300" distL="114300" distR="114300" wp14:anchorId="42E9FFE3" wp14:editId="260A8F78">
            <wp:extent cx="5612130" cy="3670300"/>
            <wp:effectExtent l="0" t="0" r="0" b="0"/>
            <wp:docPr id="3587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35CFF2" w14:textId="77777777" w:rsidR="00517D22" w:rsidRDefault="00352E42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Supplementary </w:t>
      </w:r>
      <w:r>
        <w:rPr>
          <w:rFonts w:ascii="Times New Roman" w:eastAsia="Times New Roman" w:hAnsi="Times New Roman" w:cs="Times New Roman"/>
          <w:b/>
        </w:rPr>
        <w:t>Figure 3.</w:t>
      </w:r>
      <w:r>
        <w:rPr>
          <w:rFonts w:ascii="Times New Roman" w:eastAsia="Times New Roman" w:hAnsi="Times New Roman" w:cs="Times New Roman"/>
        </w:rPr>
        <w:t xml:space="preserve"> Methoprene and Diflubenzuron HPLC-Mass spectrometry chromatograms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(L4). Y-axes: signal intensity (mAU). X-axes: retention time in minutes. a.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chromatogram treated with Methoprene. The retention time of 6.52 min and molecular mass detected by the mass spectrometer of 481.0 g.mol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 xml:space="preserve">, corresponding to MH. b.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chromatogram treated with Diflubenzuron. The retention time of 6.54 min, molecular mass detected by the mass spectrometer of 481.1 g.mol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>, corresponding to MH.</w:t>
      </w:r>
    </w:p>
    <w:p w14:paraId="7E8D175A" w14:textId="6297B83A" w:rsidR="00517D22" w:rsidRDefault="00352E42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114300" distB="114300" distL="114300" distR="114300" wp14:anchorId="7E2EA690" wp14:editId="5EB8D673">
            <wp:extent cx="5612130" cy="6273800"/>
            <wp:effectExtent l="0" t="0" r="0" b="0"/>
            <wp:docPr id="3587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7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5D581" w14:textId="77777777" w:rsidR="00517D22" w:rsidRDefault="00352E42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Supplementary </w:t>
      </w:r>
      <w:r>
        <w:rPr>
          <w:rFonts w:ascii="Times New Roman" w:eastAsia="Times New Roman" w:hAnsi="Times New Roman" w:cs="Times New Roman"/>
          <w:b/>
        </w:rPr>
        <w:t>Figure 4.</w:t>
      </w:r>
      <w:r>
        <w:rPr>
          <w:rFonts w:ascii="Times New Roman" w:eastAsia="Times New Roman" w:hAnsi="Times New Roman" w:cs="Times New Roman"/>
        </w:rPr>
        <w:t xml:space="preserve"> Major compounds (Citral and Geranyl acetate) HPLC-Mass spectrometry chromatograms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treated with </w:t>
      </w:r>
      <w:r>
        <w:rPr>
          <w:rFonts w:ascii="Times New Roman" w:eastAsia="Times New Roman" w:hAnsi="Times New Roman" w:cs="Times New Roman"/>
          <w:i/>
        </w:rPr>
        <w:t>C. flexuosus</w:t>
      </w:r>
      <w:r>
        <w:rPr>
          <w:rFonts w:ascii="Times New Roman" w:eastAsia="Times New Roman" w:hAnsi="Times New Roman" w:cs="Times New Roman"/>
        </w:rPr>
        <w:t xml:space="preserve"> EO and its major compounds (Citral and Geranyl acetate). Y-axes: signal intensity (mAU). X-axes: retention time in minutes. Don´t detect any titter corresponding to MH or JH III. </w:t>
      </w:r>
      <w:r>
        <w:rPr>
          <w:rFonts w:ascii="Times New Roman" w:eastAsia="Times New Roman" w:hAnsi="Times New Roman" w:cs="Times New Roman"/>
          <w:b/>
        </w:rPr>
        <w:t>a.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chromatogram treated with </w:t>
      </w:r>
      <w:r>
        <w:rPr>
          <w:rFonts w:ascii="Times New Roman" w:eastAsia="Times New Roman" w:hAnsi="Times New Roman" w:cs="Times New Roman"/>
          <w:i/>
        </w:rPr>
        <w:t>C. flexuosus</w:t>
      </w:r>
      <w:r>
        <w:rPr>
          <w:rFonts w:ascii="Times New Roman" w:eastAsia="Times New Roman" w:hAnsi="Times New Roman" w:cs="Times New Roman"/>
        </w:rPr>
        <w:t xml:space="preserve"> EO. </w:t>
      </w:r>
      <w:r>
        <w:rPr>
          <w:rFonts w:ascii="Times New Roman" w:eastAsia="Times New Roman" w:hAnsi="Times New Roman" w:cs="Times New Roman"/>
          <w:b/>
        </w:rPr>
        <w:t>b.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chromatogram treated with the major compound Citral. </w:t>
      </w:r>
      <w:r>
        <w:rPr>
          <w:rFonts w:ascii="Times New Roman" w:eastAsia="Times New Roman" w:hAnsi="Times New Roman" w:cs="Times New Roman"/>
          <w:b/>
        </w:rPr>
        <w:t>c.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Aedes aegypti</w:t>
      </w:r>
      <w:r>
        <w:rPr>
          <w:rFonts w:ascii="Times New Roman" w:eastAsia="Times New Roman" w:hAnsi="Times New Roman" w:cs="Times New Roman"/>
        </w:rPr>
        <w:t xml:space="preserve"> larvae (L4) chromatogram treated with the major compound Geranyl acetate.</w:t>
      </w:r>
    </w:p>
    <w:p w14:paraId="119C6871" w14:textId="77777777" w:rsidR="00517D22" w:rsidRDefault="00517D22" w:rsidP="00417C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85F81D4" w14:textId="77777777" w:rsidR="00517D22" w:rsidRDefault="00517D22" w:rsidP="00417C4B">
      <w:pPr>
        <w:spacing w:after="0" w:line="240" w:lineRule="auto"/>
      </w:pPr>
    </w:p>
    <w:sectPr w:rsidR="00517D22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NDU3NbYwM7IwMzVT0lEKTi0uzszPAykwrQUAHqPAuCwAAAA="/>
  </w:docVars>
  <w:rsids>
    <w:rsidRoot w:val="00517D22"/>
    <w:rsid w:val="001C2DBB"/>
    <w:rsid w:val="00352E42"/>
    <w:rsid w:val="00417C4B"/>
    <w:rsid w:val="00517D22"/>
    <w:rsid w:val="005754EA"/>
    <w:rsid w:val="00D0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01DB"/>
  <w15:docId w15:val="{2E8F2965-2263-4F9A-9585-52447A3C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DE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merodelnea">
    <w:name w:val="line number"/>
    <w:basedOn w:val="Fuentedeprrafopredeter"/>
    <w:uiPriority w:val="99"/>
    <w:semiHidden/>
    <w:unhideWhenUsed/>
    <w:rsid w:val="002F7DEF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417C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7C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7C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jonedulu@uis.edu.c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I66g+COFNUiMCDbxVlWTPHVGeA==">AMUW2mWv+LhlZPUJ8XCSuMewv0+jUryFxSFNqUkqtS0XD+1J02Jfb9qceEOLlsl6T6eb8Vgy5iSDQsd2hOdFYcnM7BWszWAuKJ0bqMvXZ937HZbFj1XxdFDgzldD/7fSjH89To+k9R1Z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424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 Castillo</cp:lastModifiedBy>
  <cp:revision>6</cp:revision>
  <dcterms:created xsi:type="dcterms:W3CDTF">2020-04-16T20:51:00Z</dcterms:created>
  <dcterms:modified xsi:type="dcterms:W3CDTF">2021-04-02T16:56:00Z</dcterms:modified>
</cp:coreProperties>
</file>