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E3B80" w14:textId="34A97352" w:rsidR="00091921" w:rsidRPr="00097DCC" w:rsidRDefault="00091921" w:rsidP="00097DCC">
      <w:pPr>
        <w:spacing w:line="480" w:lineRule="auto"/>
        <w:jc w:val="center"/>
        <w:rPr>
          <w:rFonts w:ascii="Perpetua" w:hAnsi="Perpetua"/>
          <w:b/>
          <w:bCs/>
          <w:color w:val="000000" w:themeColor="text1"/>
          <w:lang w:val="en-US"/>
        </w:rPr>
      </w:pPr>
      <w:r w:rsidRPr="00097DCC">
        <w:rPr>
          <w:rFonts w:ascii="Perpetua" w:hAnsi="Perpetua"/>
          <w:b/>
          <w:bCs/>
          <w:color w:val="000000" w:themeColor="text1"/>
          <w:lang w:val="en-US"/>
        </w:rPr>
        <w:t>Supplementary information</w:t>
      </w:r>
      <w:r w:rsidR="00097DCC">
        <w:rPr>
          <w:rFonts w:ascii="Perpetua" w:hAnsi="Perpetua"/>
          <w:b/>
          <w:bCs/>
          <w:color w:val="000000" w:themeColor="text1"/>
          <w:lang w:val="en-US"/>
        </w:rPr>
        <w:t xml:space="preserve"> (ESM1)</w:t>
      </w:r>
    </w:p>
    <w:p w14:paraId="4A01066A" w14:textId="77777777" w:rsidR="00097DCC" w:rsidRPr="006337E2" w:rsidRDefault="00097DCC" w:rsidP="00097DCC">
      <w:pPr>
        <w:spacing w:line="480" w:lineRule="auto"/>
        <w:jc w:val="center"/>
        <w:rPr>
          <w:rFonts w:ascii="Perpetua" w:hAnsi="Perpetua"/>
          <w:b/>
          <w:bCs/>
          <w:color w:val="000000" w:themeColor="text1"/>
          <w:lang w:val="en-US"/>
        </w:rPr>
      </w:pPr>
      <w:r w:rsidRPr="006337E2">
        <w:rPr>
          <w:rFonts w:ascii="Perpetua" w:hAnsi="Perpetua"/>
          <w:b/>
          <w:bCs/>
          <w:color w:val="000000" w:themeColor="text1"/>
          <w:lang w:val="en-US"/>
        </w:rPr>
        <w:t xml:space="preserve">Phytoextracts and hypoglycemic potential of </w:t>
      </w:r>
      <w:r w:rsidRPr="006337E2">
        <w:rPr>
          <w:rFonts w:ascii="Perpetua" w:hAnsi="Perpetua"/>
          <w:b/>
          <w:bCs/>
          <w:i/>
          <w:iCs/>
          <w:color w:val="000000" w:themeColor="text1"/>
          <w:lang w:val="en-US"/>
        </w:rPr>
        <w:t>I. sonorae</w:t>
      </w:r>
      <w:r w:rsidRPr="006337E2">
        <w:rPr>
          <w:rFonts w:ascii="Perpetua" w:hAnsi="Perpetua"/>
          <w:b/>
          <w:bCs/>
          <w:color w:val="000000" w:themeColor="text1"/>
          <w:lang w:val="en-US"/>
        </w:rPr>
        <w:t xml:space="preserve">, </w:t>
      </w:r>
      <w:r w:rsidRPr="006337E2">
        <w:rPr>
          <w:rFonts w:ascii="Perpetua" w:hAnsi="Perpetua"/>
          <w:b/>
          <w:bCs/>
          <w:i/>
          <w:iCs/>
          <w:color w:val="000000" w:themeColor="text1"/>
          <w:lang w:val="en-US"/>
        </w:rPr>
        <w:t>C. limetta</w:t>
      </w:r>
      <w:r w:rsidRPr="006337E2">
        <w:rPr>
          <w:rFonts w:ascii="Perpetua" w:hAnsi="Perpetua"/>
          <w:b/>
          <w:bCs/>
          <w:color w:val="000000" w:themeColor="text1"/>
          <w:lang w:val="en-US"/>
        </w:rPr>
        <w:t xml:space="preserve">, and </w:t>
      </w:r>
      <w:r w:rsidRPr="006337E2">
        <w:rPr>
          <w:rFonts w:ascii="Perpetua" w:hAnsi="Perpetua"/>
          <w:b/>
          <w:bCs/>
          <w:i/>
          <w:iCs/>
          <w:color w:val="000000" w:themeColor="text1"/>
          <w:lang w:val="en-US"/>
        </w:rPr>
        <w:t>B. media</w:t>
      </w:r>
    </w:p>
    <w:p w14:paraId="245FEAB9" w14:textId="77777777" w:rsidR="00097DCC" w:rsidRPr="006337E2" w:rsidRDefault="00097DCC" w:rsidP="00097DCC">
      <w:pPr>
        <w:spacing w:line="480" w:lineRule="auto"/>
        <w:jc w:val="center"/>
        <w:rPr>
          <w:rFonts w:ascii="Perpetua" w:hAnsi="Perpetua"/>
          <w:bCs/>
          <w:color w:val="000000" w:themeColor="text1"/>
          <w:vertAlign w:val="superscript"/>
        </w:rPr>
      </w:pPr>
      <w:r w:rsidRPr="006337E2">
        <w:rPr>
          <w:rFonts w:ascii="Perpetua" w:hAnsi="Perpetua"/>
          <w:bCs/>
          <w:color w:val="000000" w:themeColor="text1"/>
        </w:rPr>
        <w:t>Iza F. Pérez-Ramírez</w:t>
      </w:r>
      <w:r w:rsidRPr="006337E2">
        <w:rPr>
          <w:rFonts w:ascii="Perpetua" w:hAnsi="Perpetua"/>
          <w:bCs/>
          <w:color w:val="000000" w:themeColor="text1"/>
          <w:vertAlign w:val="superscript"/>
        </w:rPr>
        <w:t>a</w:t>
      </w:r>
      <w:r w:rsidRPr="006337E2">
        <w:rPr>
          <w:rFonts w:ascii="Perpetua" w:hAnsi="Perpetua"/>
          <w:bCs/>
          <w:color w:val="000000" w:themeColor="text1"/>
        </w:rPr>
        <w:t>, Julio C. Rubio-Rodríguez</w:t>
      </w:r>
      <w:r w:rsidRPr="006337E2">
        <w:rPr>
          <w:rFonts w:ascii="Perpetua" w:hAnsi="Perpetua"/>
          <w:bCs/>
          <w:color w:val="000000" w:themeColor="text1"/>
          <w:vertAlign w:val="superscript"/>
        </w:rPr>
        <w:t>a,b</w:t>
      </w:r>
      <w:r w:rsidRPr="006337E2">
        <w:rPr>
          <w:rFonts w:ascii="Perpetua" w:hAnsi="Perpetua"/>
          <w:bCs/>
          <w:color w:val="000000" w:themeColor="text1"/>
        </w:rPr>
        <w:t>, Luis M. Salgado</w:t>
      </w:r>
      <w:r w:rsidRPr="006337E2">
        <w:rPr>
          <w:rFonts w:ascii="Perpetua" w:hAnsi="Perpetua"/>
          <w:bCs/>
          <w:color w:val="000000" w:themeColor="text1"/>
          <w:vertAlign w:val="superscript"/>
        </w:rPr>
        <w:t>b</w:t>
      </w:r>
      <w:r w:rsidRPr="006337E2">
        <w:rPr>
          <w:rFonts w:ascii="Perpetua" w:hAnsi="Perpetua"/>
          <w:bCs/>
          <w:color w:val="000000" w:themeColor="text1"/>
        </w:rPr>
        <w:t xml:space="preserve">, </w:t>
      </w:r>
      <w:r w:rsidRPr="006337E2">
        <w:rPr>
          <w:rFonts w:ascii="Perpetua" w:hAnsi="Perpetua"/>
          <w:color w:val="000000" w:themeColor="text1"/>
        </w:rPr>
        <w:t>Ofelia Mora</w:t>
      </w:r>
      <w:r w:rsidRPr="006337E2">
        <w:rPr>
          <w:rFonts w:ascii="Perpetua" w:hAnsi="Perpetua"/>
          <w:color w:val="000000" w:themeColor="text1"/>
          <w:vertAlign w:val="superscript"/>
        </w:rPr>
        <w:t>c</w:t>
      </w:r>
      <w:r w:rsidRPr="006337E2">
        <w:rPr>
          <w:rFonts w:ascii="Perpetua" w:hAnsi="Perpetua"/>
          <w:color w:val="000000" w:themeColor="text1"/>
        </w:rPr>
        <w:t>, María L González-Dávalos</w:t>
      </w:r>
      <w:r w:rsidRPr="006337E2">
        <w:rPr>
          <w:rFonts w:ascii="Perpetua" w:hAnsi="Perpetua"/>
          <w:color w:val="000000" w:themeColor="text1"/>
          <w:vertAlign w:val="superscript"/>
        </w:rPr>
        <w:t>c</w:t>
      </w:r>
      <w:r w:rsidRPr="006337E2">
        <w:rPr>
          <w:rFonts w:ascii="Perpetua" w:hAnsi="Perpetua"/>
          <w:color w:val="000000" w:themeColor="text1"/>
        </w:rPr>
        <w:t xml:space="preserve">, </w:t>
      </w:r>
      <w:r w:rsidRPr="006337E2">
        <w:rPr>
          <w:rFonts w:ascii="Perpetua" w:hAnsi="Perpetua"/>
          <w:bCs/>
          <w:color w:val="000000" w:themeColor="text1"/>
        </w:rPr>
        <w:t>Rosalía Reynoso-Camacho</w:t>
      </w:r>
      <w:r w:rsidRPr="006337E2">
        <w:rPr>
          <w:rFonts w:ascii="Perpetua" w:hAnsi="Perpetua"/>
          <w:bCs/>
          <w:color w:val="000000" w:themeColor="text1"/>
          <w:vertAlign w:val="superscript"/>
        </w:rPr>
        <w:t>a*</w:t>
      </w:r>
    </w:p>
    <w:p w14:paraId="0EBC895C" w14:textId="77777777" w:rsidR="00097DCC" w:rsidRPr="006337E2" w:rsidRDefault="00097DCC" w:rsidP="00097DCC">
      <w:pPr>
        <w:spacing w:line="480" w:lineRule="auto"/>
        <w:jc w:val="both"/>
        <w:rPr>
          <w:rFonts w:ascii="Perpetua" w:hAnsi="Perpetua"/>
          <w:bCs/>
          <w:color w:val="000000" w:themeColor="text1"/>
        </w:rPr>
      </w:pPr>
      <w:r w:rsidRPr="006337E2">
        <w:rPr>
          <w:rFonts w:ascii="Perpetua" w:hAnsi="Perpetua"/>
          <w:bCs/>
          <w:color w:val="000000" w:themeColor="text1"/>
          <w:vertAlign w:val="superscript"/>
        </w:rPr>
        <w:t>a</w:t>
      </w:r>
      <w:r w:rsidRPr="006337E2">
        <w:rPr>
          <w:rFonts w:ascii="Perpetua" w:hAnsi="Perpetua"/>
          <w:bCs/>
          <w:color w:val="000000" w:themeColor="text1"/>
        </w:rPr>
        <w:t>Universidad Autónoma de Querétaro (Facultad de Química), Querétaro (Querétaro), México.</w:t>
      </w:r>
    </w:p>
    <w:p w14:paraId="71EE5334" w14:textId="77777777" w:rsidR="00097DCC" w:rsidRPr="006337E2" w:rsidRDefault="00097DCC" w:rsidP="00097DCC">
      <w:pPr>
        <w:spacing w:line="480" w:lineRule="auto"/>
        <w:jc w:val="both"/>
        <w:rPr>
          <w:rFonts w:ascii="Perpetua" w:hAnsi="Perpetua"/>
          <w:bCs/>
          <w:color w:val="000000" w:themeColor="text1"/>
        </w:rPr>
      </w:pPr>
      <w:r w:rsidRPr="006337E2">
        <w:rPr>
          <w:rFonts w:ascii="Perpetua" w:hAnsi="Perpetua"/>
          <w:bCs/>
          <w:color w:val="000000" w:themeColor="text1"/>
          <w:vertAlign w:val="superscript"/>
        </w:rPr>
        <w:t>b</w:t>
      </w:r>
      <w:r w:rsidRPr="006337E2">
        <w:rPr>
          <w:rFonts w:ascii="Perpetua" w:hAnsi="Perpetua"/>
          <w:bCs/>
          <w:color w:val="000000" w:themeColor="text1"/>
        </w:rPr>
        <w:t xml:space="preserve">Instituto Politecnico Nacional (CICATA), Querétaro (Queretaro), Mexico. </w:t>
      </w:r>
    </w:p>
    <w:p w14:paraId="5EFAE85A" w14:textId="77777777" w:rsidR="00097DCC" w:rsidRPr="006337E2" w:rsidRDefault="00097DCC" w:rsidP="00097DCC">
      <w:pPr>
        <w:tabs>
          <w:tab w:val="left" w:pos="0"/>
          <w:tab w:val="left" w:pos="709"/>
        </w:tabs>
        <w:autoSpaceDE w:val="0"/>
        <w:autoSpaceDN w:val="0"/>
        <w:adjustRightInd w:val="0"/>
        <w:spacing w:line="480" w:lineRule="auto"/>
        <w:jc w:val="both"/>
        <w:rPr>
          <w:rFonts w:ascii="Perpetua" w:eastAsia="Calibri" w:hAnsi="Perpetua"/>
          <w:color w:val="000000" w:themeColor="text1"/>
          <w:vertAlign w:val="superscript"/>
          <w:lang w:val="es-ES_tradnl"/>
        </w:rPr>
      </w:pPr>
      <w:proofErr w:type="spellStart"/>
      <w:r w:rsidRPr="006337E2">
        <w:rPr>
          <w:rFonts w:ascii="Perpetua" w:eastAsia="Calibri" w:hAnsi="Perpetua"/>
          <w:color w:val="000000" w:themeColor="text1"/>
          <w:vertAlign w:val="superscript"/>
          <w:lang w:val="es-ES_tradnl"/>
        </w:rPr>
        <w:t>c</w:t>
      </w:r>
      <w:r w:rsidRPr="006337E2">
        <w:rPr>
          <w:rFonts w:ascii="Perpetua" w:eastAsia="Calibri" w:hAnsi="Perpetua"/>
          <w:color w:val="000000" w:themeColor="text1"/>
          <w:lang w:val="es-ES_tradnl"/>
        </w:rPr>
        <w:t>Universidad</w:t>
      </w:r>
      <w:proofErr w:type="spellEnd"/>
      <w:r w:rsidRPr="006337E2">
        <w:rPr>
          <w:rFonts w:ascii="Perpetua" w:eastAsia="Calibri" w:hAnsi="Perpetua"/>
          <w:color w:val="000000" w:themeColor="text1"/>
          <w:lang w:val="es-ES_tradnl"/>
        </w:rPr>
        <w:t xml:space="preserve"> Nacional Autónoma de México (Instituto de Neurobiología), Querétaro (Querétaro), México.</w:t>
      </w:r>
    </w:p>
    <w:p w14:paraId="5AB0A547" w14:textId="77777777" w:rsidR="00097DCC" w:rsidRPr="006337E2" w:rsidRDefault="00097DCC" w:rsidP="00097DCC">
      <w:pPr>
        <w:spacing w:line="480" w:lineRule="auto"/>
        <w:jc w:val="both"/>
        <w:rPr>
          <w:rFonts w:ascii="Perpetua" w:hAnsi="Perpetua"/>
          <w:bCs/>
          <w:color w:val="000000" w:themeColor="text1"/>
          <w:lang w:val="en-US"/>
        </w:rPr>
      </w:pPr>
      <w:r w:rsidRPr="006337E2">
        <w:rPr>
          <w:rFonts w:ascii="Perpetua" w:hAnsi="Perpetua"/>
          <w:bCs/>
          <w:color w:val="000000" w:themeColor="text1"/>
          <w:vertAlign w:val="superscript"/>
          <w:lang w:val="en-US"/>
        </w:rPr>
        <w:t>*</w:t>
      </w:r>
      <w:r w:rsidRPr="006337E2">
        <w:rPr>
          <w:rFonts w:ascii="Perpetua" w:hAnsi="Perpetua"/>
          <w:bCs/>
          <w:color w:val="000000" w:themeColor="text1"/>
          <w:lang w:val="en-US"/>
        </w:rPr>
        <w:t>Correspondence: rrcamachomx@yahoo.com.mx</w:t>
      </w:r>
    </w:p>
    <w:p w14:paraId="1D2AC30E" w14:textId="77777777" w:rsidR="00097DCC" w:rsidRDefault="00097DCC" w:rsidP="00097DCC">
      <w:pPr>
        <w:spacing w:line="480" w:lineRule="auto"/>
        <w:jc w:val="both"/>
        <w:rPr>
          <w:rFonts w:ascii="Perpetua" w:hAnsi="Perpetua"/>
          <w:b/>
          <w:color w:val="000000" w:themeColor="text1"/>
          <w:lang w:val="en-US" w:eastAsia="es-MX"/>
        </w:rPr>
        <w:sectPr w:rsidR="00097DCC" w:rsidSect="001976C2">
          <w:footerReference w:type="even" r:id="rId7"/>
          <w:footerReference w:type="default" r:id="rId8"/>
          <w:pgSz w:w="12240" w:h="15840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</w:p>
    <w:p w14:paraId="418F7DC4" w14:textId="4A4C4461" w:rsidR="00091921" w:rsidRPr="00097DCC" w:rsidRDefault="00CB4039" w:rsidP="00097DCC">
      <w:pPr>
        <w:spacing w:line="480" w:lineRule="auto"/>
        <w:jc w:val="both"/>
        <w:rPr>
          <w:rFonts w:ascii="Perpetua" w:hAnsi="Perpetua"/>
          <w:b/>
          <w:color w:val="000000" w:themeColor="text1"/>
          <w:lang w:val="en-US" w:eastAsia="es-MX"/>
        </w:rPr>
      </w:pPr>
      <w:r w:rsidRPr="00097DCC">
        <w:rPr>
          <w:rFonts w:ascii="Perpetua" w:hAnsi="Perpetua"/>
          <w:b/>
          <w:color w:val="000000" w:themeColor="text1"/>
          <w:lang w:val="en-US" w:eastAsia="es-MX"/>
        </w:rPr>
        <w:lastRenderedPageBreak/>
        <w:t>1</w:t>
      </w:r>
      <w:r w:rsidR="00091921" w:rsidRPr="00097DCC">
        <w:rPr>
          <w:rFonts w:ascii="Perpetua" w:hAnsi="Perpetua"/>
          <w:b/>
          <w:color w:val="000000" w:themeColor="text1"/>
          <w:lang w:val="en-US" w:eastAsia="es-MX"/>
        </w:rPr>
        <w:t>. Materials and methods</w:t>
      </w:r>
    </w:p>
    <w:p w14:paraId="38D8AF88" w14:textId="635C16D9" w:rsidR="00091921" w:rsidRPr="00097DCC" w:rsidRDefault="00CB4039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 w:eastAsia="es-MX"/>
        </w:rPr>
      </w:pPr>
      <w:r w:rsidRPr="00097DCC">
        <w:rPr>
          <w:rFonts w:ascii="Perpetua" w:hAnsi="Perpetua"/>
          <w:i/>
          <w:color w:val="000000" w:themeColor="text1"/>
          <w:lang w:val="en-US" w:eastAsia="es-MX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 w:eastAsia="es-MX"/>
        </w:rPr>
        <w:t>.1. Herbal material and preparation of herbal aqueous extracts</w:t>
      </w:r>
    </w:p>
    <w:p w14:paraId="0E455AD5" w14:textId="292B1C47" w:rsidR="00091921" w:rsidRPr="00097DCC" w:rsidRDefault="00091921" w:rsidP="00097DCC">
      <w:pPr>
        <w:spacing w:line="480" w:lineRule="auto"/>
        <w:jc w:val="both"/>
        <w:rPr>
          <w:rStyle w:val="Textoennegrita"/>
          <w:rFonts w:ascii="Perpetua" w:hAnsi="Perpetua"/>
          <w:b w:val="0"/>
          <w:bCs w:val="0"/>
          <w:color w:val="000000" w:themeColor="text1"/>
          <w:lang w:val="en-US" w:eastAsia="es-MX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Ibervillea sonorae</w:t>
      </w:r>
      <w:r w:rsidRPr="00097DCC">
        <w:rPr>
          <w:rFonts w:ascii="Perpetua" w:hAnsi="Perpetua"/>
          <w:color w:val="000000" w:themeColor="text1"/>
          <w:lang w:val="en-US"/>
        </w:rPr>
        <w:t xml:space="preserve"> roots, </w:t>
      </w:r>
      <w:r w:rsidRPr="00097DCC">
        <w:rPr>
          <w:rStyle w:val="Textoennegrita"/>
          <w:rFonts w:ascii="Perpetua" w:hAnsi="Perpetua"/>
          <w:b w:val="0"/>
          <w:bCs w:val="0"/>
          <w:i/>
          <w:color w:val="000000" w:themeColor="text1"/>
          <w:lang w:val="en-US"/>
        </w:rPr>
        <w:t>Citrus limetta</w:t>
      </w:r>
      <w:r w:rsidRPr="00097DCC">
        <w:rPr>
          <w:rStyle w:val="Textoennegrita"/>
          <w:rFonts w:ascii="Perpetua" w:hAnsi="Perpetua"/>
          <w:b w:val="0"/>
          <w:bCs w:val="0"/>
          <w:color w:val="000000" w:themeColor="text1"/>
          <w:lang w:val="en-US"/>
        </w:rPr>
        <w:t xml:space="preserve"> roots, </w:t>
      </w:r>
      <w:r w:rsidRPr="00097DCC">
        <w:rPr>
          <w:rStyle w:val="Textoennegrita"/>
          <w:rFonts w:ascii="Perpetua" w:hAnsi="Perpetua"/>
          <w:b w:val="0"/>
          <w:bCs w:val="0"/>
          <w:noProof/>
          <w:color w:val="000000" w:themeColor="text1"/>
          <w:lang w:val="en-US"/>
        </w:rPr>
        <w:t>and</w:t>
      </w:r>
      <w:r w:rsidRPr="00097DCC">
        <w:rPr>
          <w:rStyle w:val="Textoennegrita"/>
          <w:rFonts w:ascii="Perpetua" w:hAnsi="Perpetua"/>
          <w:b w:val="0"/>
          <w:bCs w:val="0"/>
          <w:color w:val="000000" w:themeColor="text1"/>
          <w:lang w:val="en-US"/>
        </w:rPr>
        <w:t xml:space="preserve"> </w:t>
      </w:r>
      <w:r w:rsidRPr="00097DCC">
        <w:rPr>
          <w:rStyle w:val="Textoennegrita"/>
          <w:rFonts w:ascii="Perpetua" w:hAnsi="Perpetua"/>
          <w:b w:val="0"/>
          <w:bCs w:val="0"/>
          <w:i/>
          <w:color w:val="000000" w:themeColor="text1"/>
          <w:lang w:val="en-US"/>
        </w:rPr>
        <w:t>Briza media</w:t>
      </w:r>
      <w:r w:rsidRPr="00097DCC">
        <w:rPr>
          <w:rStyle w:val="Textoennegrita"/>
          <w:rFonts w:ascii="Perpetua" w:hAnsi="Perpetua"/>
          <w:b w:val="0"/>
          <w:bCs w:val="0"/>
          <w:color w:val="000000" w:themeColor="text1"/>
          <w:lang w:val="en-US"/>
        </w:rPr>
        <w:t xml:space="preserve"> leaves and stems were obtained from local markets in Querétaro, México</w:t>
      </w:r>
      <w:r w:rsidRPr="00097DCC">
        <w:rPr>
          <w:rStyle w:val="Textoennegrita"/>
          <w:rFonts w:ascii="Perpetua" w:hAnsi="Perpetua"/>
          <w:color w:val="000000" w:themeColor="text1"/>
          <w:lang w:val="en-US"/>
        </w:rPr>
        <w:t xml:space="preserve">. </w:t>
      </w:r>
      <w:r w:rsidRPr="00097DCC">
        <w:rPr>
          <w:rFonts w:ascii="Perpetua" w:hAnsi="Perpetua"/>
          <w:color w:val="000000" w:themeColor="text1"/>
          <w:lang w:val="en-US" w:eastAsia="es-MX"/>
        </w:rPr>
        <w:t xml:space="preserve">Extracts were prepared using two g of dried material in 100 mL of water and boiled for 30 min, </w:t>
      </w:r>
      <w:r w:rsidRPr="00097DCC">
        <w:rPr>
          <w:rFonts w:ascii="Perpetua" w:hAnsi="Perpetua"/>
          <w:noProof/>
          <w:color w:val="000000" w:themeColor="text1"/>
          <w:lang w:val="en-US" w:eastAsia="es-MX"/>
        </w:rPr>
        <w:t>afterwards</w:t>
      </w:r>
      <w:r w:rsidRPr="00097DCC">
        <w:rPr>
          <w:rFonts w:ascii="Perpetua" w:hAnsi="Perpetua"/>
          <w:color w:val="000000" w:themeColor="text1"/>
          <w:lang w:val="en-US" w:eastAsia="es-MX"/>
        </w:rPr>
        <w:t xml:space="preserve"> all extracts were filtered using a 0.5 mm pore size </w:t>
      </w:r>
      <w:r w:rsidRPr="00097DCC">
        <w:rPr>
          <w:rFonts w:ascii="Perpetua" w:hAnsi="Perpetua"/>
          <w:noProof/>
          <w:color w:val="000000" w:themeColor="text1"/>
          <w:lang w:val="en-US" w:eastAsia="es-MX"/>
        </w:rPr>
        <w:t>filter and</w:t>
      </w:r>
      <w:r w:rsidRPr="00097DCC">
        <w:rPr>
          <w:rFonts w:ascii="Perpetua" w:hAnsi="Perpetua"/>
          <w:color w:val="000000" w:themeColor="text1"/>
          <w:lang w:val="en-US" w:eastAsia="es-MX"/>
        </w:rPr>
        <w:t xml:space="preserve"> were stored at 4 ºC protected from the light. </w:t>
      </w:r>
    </w:p>
    <w:p w14:paraId="15BA6264" w14:textId="412DB2C5" w:rsidR="00091921" w:rsidRPr="00097DCC" w:rsidRDefault="00CB4039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>.2. Animal protocol experiments</w:t>
      </w:r>
    </w:p>
    <w:p w14:paraId="2A5D54F8" w14:textId="1D4622AD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Thirty male Wistar rats of 220-240 g were acquired from the Universidad Nacional Autónoma de México (Juriquilla, Querétaro, Mexico). The housing room was maintained at 23 ºC and 50% relative humidity, under a 12 h light-dark cycle, animals were housed individually with free access to standard diet (La Rodent Diet 5001) and water. Experiments were performed in accordance </w:t>
      </w:r>
      <w:r w:rsidR="00312A88" w:rsidRPr="00097DCC">
        <w:rPr>
          <w:rFonts w:ascii="Perpetua" w:hAnsi="Perpetua"/>
          <w:color w:val="000000" w:themeColor="text1"/>
          <w:lang w:val="en-US"/>
        </w:rPr>
        <w:t>with</w:t>
      </w:r>
      <w:r w:rsidRPr="00097DCC">
        <w:rPr>
          <w:rFonts w:ascii="Perpetua" w:hAnsi="Perpetua"/>
          <w:color w:val="000000" w:themeColor="text1"/>
          <w:lang w:val="en-US"/>
        </w:rPr>
        <w:t xml:space="preserve"> the Animal Care and Use Protocol (NOM-062-ZOO-1999), and protocol was approved by the Bioethics Committee, Faculty of Natural Sciences of the Universidad Autónoma de Querétaro (Querétaro, México; approval number: 5FCN2015). </w:t>
      </w:r>
    </w:p>
    <w:p w14:paraId="5991823D" w14:textId="6E90D8A7" w:rsidR="00091921" w:rsidRPr="00097DCC" w:rsidRDefault="00CB4039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i/>
          <w:color w:val="000000" w:themeColor="text1"/>
          <w:lang w:val="en-US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.3. </w:t>
      </w:r>
      <w:bookmarkStart w:id="0" w:name="_Hlk5257733"/>
      <w:bookmarkStart w:id="1" w:name="_Hlk17813416"/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Oral starch tolerance test </w:t>
      </w:r>
      <w:bookmarkEnd w:id="0"/>
    </w:p>
    <w:bookmarkEnd w:id="1"/>
    <w:p w14:paraId="3E3E3753" w14:textId="1319EA5C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After one week of acclimatization, rats were fasted for 12 h and were randomly allocated in five groups of six rats each. </w:t>
      </w:r>
      <w:bookmarkStart w:id="2" w:name="_Hlk9293510"/>
      <w:r w:rsidRPr="00097DCC">
        <w:rPr>
          <w:rFonts w:ascii="Perpetua" w:hAnsi="Perpetua"/>
          <w:color w:val="000000" w:themeColor="text1"/>
          <w:lang w:val="en-US"/>
        </w:rPr>
        <w:t xml:space="preserve">The negative control group was administered water (vehicle) via intragastric cannulation, the positive control group was administered acarbose (10 mg/kg b.w.), and the treatments groups were administered each herbal extract: 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I. sonorae, C. limetta, </w:t>
      </w:r>
      <w:r w:rsidRPr="00097DCC">
        <w:rPr>
          <w:rFonts w:ascii="Perpetua" w:hAnsi="Perpetua"/>
          <w:color w:val="000000" w:themeColor="text1"/>
          <w:lang w:val="en-US"/>
        </w:rPr>
        <w:t xml:space="preserve">and 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B. media </w:t>
      </w:r>
      <w:r w:rsidRPr="00097DCC">
        <w:rPr>
          <w:rFonts w:ascii="Perpetua" w:hAnsi="Perpetua"/>
          <w:color w:val="000000" w:themeColor="text1"/>
          <w:lang w:val="en-US"/>
        </w:rPr>
        <w:t xml:space="preserve">(6 mL/kg) </w:t>
      </w:r>
      <w:r w:rsidR="000046F5" w:rsidRPr="00097DCC">
        <w:rPr>
          <w:rFonts w:ascii="Perpetua" w:hAnsi="Perpetua"/>
          <w:color w:val="000000" w:themeColor="text1"/>
          <w:lang w:val="en-US"/>
        </w:rPr>
        <w:t>[1]</w:t>
      </w:r>
      <w:r w:rsidRPr="00097DCC">
        <w:rPr>
          <w:rFonts w:ascii="Perpetua" w:hAnsi="Perpetua"/>
          <w:color w:val="000000" w:themeColor="text1"/>
          <w:lang w:val="en-US"/>
        </w:rPr>
        <w:t>. After 5 min, a starch solution (5 g/kg b.w.) was administered to all rats</w:t>
      </w:r>
      <w:bookmarkEnd w:id="2"/>
      <w:r w:rsidRPr="00097DCC">
        <w:rPr>
          <w:rFonts w:ascii="Perpetua" w:hAnsi="Perpetua"/>
          <w:color w:val="000000" w:themeColor="text1"/>
          <w:lang w:val="en-US"/>
        </w:rPr>
        <w:t xml:space="preserve">. Glucose was measured at 0, 15, 30, 60, </w:t>
      </w:r>
      <w:proofErr w:type="gramStart"/>
      <w:r w:rsidRPr="00097DCC">
        <w:rPr>
          <w:rFonts w:ascii="Perpetua" w:hAnsi="Perpetua"/>
          <w:color w:val="000000" w:themeColor="text1"/>
          <w:lang w:val="en-US"/>
        </w:rPr>
        <w:t>90, 120, 150, and 180 min</w:t>
      </w:r>
      <w:proofErr w:type="gramEnd"/>
      <w:r w:rsidRPr="00097DCC">
        <w:rPr>
          <w:rFonts w:ascii="Perpetua" w:hAnsi="Perpetua"/>
          <w:color w:val="000000" w:themeColor="text1"/>
          <w:lang w:val="en-US"/>
        </w:rPr>
        <w:t xml:space="preserve"> using blood obtained from the tail vein with an Accu-Chek System (Roche Diagnosis, Germany).</w:t>
      </w:r>
    </w:p>
    <w:p w14:paraId="73DD4AD5" w14:textId="48D18339" w:rsidR="00091921" w:rsidRPr="00097DCC" w:rsidRDefault="00CB4039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.4. Evaluation of in vitro </w:t>
      </w:r>
      <w:r w:rsidR="00091921" w:rsidRPr="00097DCC">
        <w:rPr>
          <w:rFonts w:ascii="Cambria" w:hAnsi="Cambria" w:cs="Cambria"/>
          <w:i/>
          <w:color w:val="000000" w:themeColor="text1"/>
          <w:lang w:val="en-US"/>
        </w:rPr>
        <w:t>α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-amylase and </w:t>
      </w:r>
      <w:r w:rsidR="00091921" w:rsidRPr="00097DCC">
        <w:rPr>
          <w:rFonts w:ascii="Cambria" w:hAnsi="Cambria" w:cs="Cambria"/>
          <w:i/>
          <w:color w:val="000000" w:themeColor="text1"/>
          <w:lang w:val="en-US"/>
        </w:rPr>
        <w:t>α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>-glucosidase enzymes inhibitory activity</w:t>
      </w:r>
    </w:p>
    <w:p w14:paraId="0B8CCBDD" w14:textId="17218A58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lastRenderedPageBreak/>
        <w:t xml:space="preserve">Herbal extracts were evaluated against </w:t>
      </w:r>
      <w:bookmarkStart w:id="3" w:name="_Hlk7409628"/>
      <w:r w:rsidRPr="00097DCC">
        <w:rPr>
          <w:rFonts w:ascii="Cambria" w:hAnsi="Cambria" w:cs="Cambria"/>
          <w:color w:val="000000" w:themeColor="text1"/>
          <w:lang w:val="en-US"/>
        </w:rPr>
        <w:t>α</w:t>
      </w:r>
      <w:r w:rsidRPr="00097DCC">
        <w:rPr>
          <w:rFonts w:ascii="Perpetua" w:hAnsi="Perpetua"/>
          <w:color w:val="000000" w:themeColor="text1"/>
          <w:lang w:val="en-US"/>
        </w:rPr>
        <w:t xml:space="preserve">-amylase and </w:t>
      </w:r>
      <w:r w:rsidRPr="00097DCC">
        <w:rPr>
          <w:rFonts w:ascii="Cambria" w:hAnsi="Cambria" w:cs="Cambria"/>
          <w:color w:val="000000" w:themeColor="text1"/>
          <w:lang w:val="en-US"/>
        </w:rPr>
        <w:t>α</w:t>
      </w:r>
      <w:r w:rsidRPr="00097DCC">
        <w:rPr>
          <w:rFonts w:ascii="Perpetua" w:hAnsi="Perpetua"/>
          <w:color w:val="000000" w:themeColor="text1"/>
          <w:lang w:val="en-US"/>
        </w:rPr>
        <w:t xml:space="preserve">-glucosidase </w:t>
      </w:r>
      <w:bookmarkEnd w:id="3"/>
      <w:r w:rsidRPr="00097DCC">
        <w:rPr>
          <w:rFonts w:ascii="Perpetua" w:hAnsi="Perpetua"/>
          <w:color w:val="000000" w:themeColor="text1"/>
          <w:lang w:val="en-US"/>
        </w:rPr>
        <w:t xml:space="preserve">according to the methods described by Apostolidis </w:t>
      </w:r>
      <w:r w:rsidRPr="00097DCC">
        <w:rPr>
          <w:rFonts w:ascii="Perpetua" w:hAnsi="Perpetua"/>
          <w:iCs/>
          <w:color w:val="000000" w:themeColor="text1"/>
          <w:lang w:val="en-US"/>
        </w:rPr>
        <w:t>et al</w:t>
      </w:r>
      <w:r w:rsidRPr="00097DCC">
        <w:rPr>
          <w:rFonts w:ascii="Perpetua" w:hAnsi="Perpetua"/>
          <w:i/>
          <w:color w:val="000000" w:themeColor="text1"/>
          <w:lang w:val="en-US"/>
        </w:rPr>
        <w:t>.</w:t>
      </w:r>
      <w:r w:rsidRPr="00097DCC">
        <w:rPr>
          <w:rFonts w:ascii="Perpetua" w:hAnsi="Perpetua"/>
          <w:color w:val="000000" w:themeColor="text1"/>
          <w:lang w:val="en-US"/>
        </w:rPr>
        <w:t xml:space="preserve"> </w:t>
      </w:r>
      <w:r w:rsidR="000046F5" w:rsidRPr="00097DCC">
        <w:rPr>
          <w:rFonts w:ascii="Perpetua" w:hAnsi="Perpetua"/>
          <w:color w:val="000000" w:themeColor="text1"/>
          <w:lang w:val="en-US"/>
        </w:rPr>
        <w:t>[2]</w:t>
      </w:r>
      <w:r w:rsidRPr="00097DCC">
        <w:rPr>
          <w:rFonts w:ascii="Perpetua" w:hAnsi="Perpetua"/>
          <w:color w:val="000000" w:themeColor="text1"/>
          <w:lang w:val="en-US"/>
        </w:rPr>
        <w:t>, respectively</w:t>
      </w:r>
      <w:r w:rsidRPr="00097DCC">
        <w:rPr>
          <w:rFonts w:ascii="Perpetua" w:hAnsi="Perpetua"/>
          <w:iCs/>
          <w:color w:val="000000" w:themeColor="text1"/>
          <w:lang w:val="en-US" w:eastAsia="es-ES"/>
        </w:rPr>
        <w:t xml:space="preserve">. </w:t>
      </w:r>
      <w:r w:rsidRPr="00097DCC">
        <w:rPr>
          <w:rFonts w:ascii="Perpetua" w:hAnsi="Perpetua"/>
          <w:color w:val="000000" w:themeColor="text1"/>
          <w:lang w:val="en-US"/>
        </w:rPr>
        <w:t>Results were reported as percentage of inhibition.</w:t>
      </w:r>
    </w:p>
    <w:p w14:paraId="337581C7" w14:textId="7269412C" w:rsidR="00091921" w:rsidRPr="00097DCC" w:rsidRDefault="00CB4039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.5. Cell culture </w:t>
      </w:r>
    </w:p>
    <w:p w14:paraId="3E007461" w14:textId="77777777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>3T3-L1 preadipocytes (1 x 10</w:t>
      </w:r>
      <w:r w:rsidRPr="00097DCC">
        <w:rPr>
          <w:rFonts w:ascii="Perpetua" w:hAnsi="Perpetua"/>
          <w:color w:val="000000" w:themeColor="text1"/>
          <w:vertAlign w:val="superscript"/>
          <w:lang w:val="en-US"/>
        </w:rPr>
        <w:t>4</w:t>
      </w:r>
      <w:r w:rsidRPr="00097DCC">
        <w:rPr>
          <w:rFonts w:ascii="Perpetua" w:hAnsi="Perpetua"/>
          <w:color w:val="000000" w:themeColor="text1"/>
          <w:lang w:val="en-US"/>
        </w:rPr>
        <w:t xml:space="preserve"> cells) were cultured until confluence in Dulbecco’s modified Eagle’s medium (DMEM) with 10% fetal bovine serum (FBS, Gibco by Life Technologies, New York, USA) and 1% penicillin/streptomycin (Invitrogen). The differentiation of adipocytes was induced with 5 </w:t>
      </w:r>
      <w:r w:rsidRPr="00097DCC">
        <w:rPr>
          <w:rFonts w:ascii="Perpetua" w:hAnsi="Perpetua"/>
          <w:color w:val="000000" w:themeColor="text1"/>
          <w:lang w:val="en-US"/>
        </w:rPr>
        <w:sym w:font="Symbol" w:char="F06D"/>
      </w:r>
      <w:r w:rsidRPr="00097DCC">
        <w:rPr>
          <w:rFonts w:ascii="Perpetua" w:hAnsi="Perpetua"/>
          <w:color w:val="000000" w:themeColor="text1"/>
          <w:lang w:val="en-US"/>
        </w:rPr>
        <w:t xml:space="preserve">g/mL insulin (Life Technologies), 0.25 </w:t>
      </w:r>
      <w:r w:rsidRPr="00097DCC">
        <w:rPr>
          <w:rFonts w:ascii="Perpetua" w:hAnsi="Perpetua"/>
          <w:color w:val="000000" w:themeColor="text1"/>
          <w:lang w:val="en-US"/>
        </w:rPr>
        <w:sym w:font="Symbol" w:char="F06D"/>
      </w:r>
      <w:r w:rsidRPr="00097DCC">
        <w:rPr>
          <w:rFonts w:ascii="Perpetua" w:hAnsi="Perpetua"/>
          <w:color w:val="000000" w:themeColor="text1"/>
          <w:lang w:val="en-US"/>
        </w:rPr>
        <w:t xml:space="preserve">M dexamethasone (Sigma-Aldrich, Missouri, USA), 0.5 mM IBMX (Invitrogen), 2% FBS, and 1% penicillin/streptomycin in DMEM for 2 days. Then, the medium was replaced with DMEM with 5 </w:t>
      </w:r>
      <w:r w:rsidRPr="00097DCC">
        <w:rPr>
          <w:rFonts w:ascii="Perpetua" w:hAnsi="Perpetua"/>
          <w:color w:val="000000" w:themeColor="text1"/>
          <w:lang w:val="en-US"/>
        </w:rPr>
        <w:sym w:font="Symbol" w:char="F06D"/>
      </w:r>
      <w:r w:rsidRPr="00097DCC">
        <w:rPr>
          <w:rFonts w:ascii="Perpetua" w:hAnsi="Perpetua"/>
          <w:color w:val="000000" w:themeColor="text1"/>
          <w:lang w:val="en-US"/>
        </w:rPr>
        <w:t xml:space="preserve">g/mL insulin, 2% FBS, and 1% penicillin/streptomycin for 1 day. Finally, the medium was replaced with DMEM with 2% FBS and 1% penicillin/streptomycin for 4 days. Mediums were changed every two days during adipocytes proliferation and differentiation. </w:t>
      </w:r>
    </w:p>
    <w:p w14:paraId="327D72D9" w14:textId="2064458C" w:rsidR="00091921" w:rsidRPr="00097DCC" w:rsidRDefault="00CB4039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.6. In vitro glucose uptake assay </w:t>
      </w:r>
    </w:p>
    <w:p w14:paraId="11ABBEDC" w14:textId="47A72C45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Differentiated cells were serum-starved for 4 h and were treated with 0.5 and 1.0 mg/mL of lyophilized herbal extracts dissolved in 0.1% dimethyl sulfoxide (DMSO, Sigma-Aldrich). These concentrations of herbal extracts have been previously reported in similar studies </w:t>
      </w:r>
      <w:r w:rsidR="000046F5" w:rsidRPr="00097DCC">
        <w:rPr>
          <w:rFonts w:ascii="Perpetua" w:hAnsi="Perpetua"/>
          <w:color w:val="000000" w:themeColor="text1"/>
          <w:lang w:val="en-US"/>
        </w:rPr>
        <w:t>[3]</w:t>
      </w:r>
      <w:r w:rsidRPr="00097DCC">
        <w:rPr>
          <w:rFonts w:ascii="Perpetua" w:hAnsi="Perpetua"/>
          <w:color w:val="000000" w:themeColor="text1"/>
          <w:lang w:val="en-US"/>
        </w:rPr>
        <w:t>. Negative control cells were incubated with 0.1% DMSO, whereas positive control cells were incubated with 100 nM of insulin. G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 xml:space="preserve">lucose uptake assays were performed as described previously by Urso </w:t>
      </w:r>
      <w:r w:rsidRPr="00097DCC">
        <w:rPr>
          <w:rFonts w:ascii="Perpetua" w:hAnsi="Perpetua"/>
          <w:iCs/>
          <w:color w:val="000000" w:themeColor="text1"/>
          <w:shd w:val="clear" w:color="auto" w:fill="FFFFFF"/>
          <w:lang w:val="en-US"/>
        </w:rPr>
        <w:t>et al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 xml:space="preserve">. </w:t>
      </w:r>
      <w:r w:rsidR="000046F5"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>[4]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 xml:space="preserve">. </w:t>
      </w:r>
      <w:r w:rsidRPr="00097DCC">
        <w:rPr>
          <w:rFonts w:ascii="Perpetua" w:hAnsi="Perpetua"/>
          <w:color w:val="000000" w:themeColor="text1"/>
          <w:lang w:val="en-US"/>
        </w:rPr>
        <w:t>Cells were incubated at 37 ºC for 30 min.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 xml:space="preserve"> Glucose concentration was determined </w:t>
      </w:r>
      <w:r w:rsidRPr="00097DCC">
        <w:rPr>
          <w:rFonts w:ascii="Perpetua" w:hAnsi="Perpetua"/>
          <w:color w:val="000000" w:themeColor="text1"/>
          <w:lang w:val="en-US"/>
        </w:rPr>
        <w:t xml:space="preserve">using colorimetric-commercial kit (Spinreact, Girone, Spain). 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>A</w:t>
      </w:r>
      <w:r w:rsidRPr="00097DCC">
        <w:rPr>
          <w:rFonts w:ascii="Perpetua" w:hAnsi="Perpetua"/>
          <w:color w:val="000000" w:themeColor="text1"/>
          <w:lang w:val="en-US"/>
        </w:rPr>
        <w:t xml:space="preserve">ll experiments were assessed in triplicate. </w:t>
      </w:r>
    </w:p>
    <w:p w14:paraId="04C5B11A" w14:textId="6BD8C55E" w:rsidR="00091921" w:rsidRPr="00097DCC" w:rsidRDefault="00CB4039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/>
        </w:rPr>
      </w:pPr>
      <w:r w:rsidRPr="00097DCC">
        <w:rPr>
          <w:rFonts w:ascii="Perpetua" w:hAnsi="Perpetua"/>
          <w:i/>
          <w:color w:val="000000" w:themeColor="text1"/>
          <w:lang w:val="en-US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/>
        </w:rPr>
        <w:t xml:space="preserve">.7. Relative quantification of Glut4, Irs1, and Pi3k gene transcripts </w:t>
      </w:r>
    </w:p>
    <w:p w14:paraId="2F27E83F" w14:textId="77777777" w:rsidR="00091921" w:rsidRPr="00097DCC" w:rsidRDefault="00091921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As in glucose uptake assay, fully differentiated adipocytes were incubated at 37 ºC for 30 min with each treatment. Afterwards, cells were lysed with 1 mL of Trizol reagent (Thermo Fisher Scientific, Delaware, USA) for the isolation of total RNA according to the instructions of manufacturer. RNA was </w:t>
      </w:r>
      <w:r w:rsidRPr="00097DCC">
        <w:rPr>
          <w:rFonts w:ascii="Perpetua" w:hAnsi="Perpetua"/>
          <w:color w:val="000000" w:themeColor="text1"/>
          <w:lang w:val="en-US"/>
        </w:rPr>
        <w:lastRenderedPageBreak/>
        <w:t>quantified with a NanoDrop 1000 spectrophotometer (Thermo Fisher Scientific). RNA quality was assessed with 260/280 and 260-230 ratios, whereas RNA integrity was assessed by electrophoresis on a 1% denaturing agarose gel.</w:t>
      </w:r>
    </w:p>
    <w:p w14:paraId="29057C66" w14:textId="77777777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The synthesis of cDNA was carried out with 1 µg of total RNA, 4 µL of M-MLV 5X reaction buffer (Invitrogen, Ca, USA), 1 µL of 5 µM oligo dT (Invitrogen), 1 µL of 10 mM dNTP mix (Invitrogen), 1 µL (200 U) of M-MLV RT (Invitrogen), 3 µL of 0.1 M DTT (Invitrogen), 1 µL of RNase inhibitor (Invitrogen), and RNAse-free water (Sigma-Aldrich), reaching a final volume of 20 µl. The reaction was incubated at 42 °C for 50 min and was stopped by incubating at 70 °C for 15 min. </w:t>
      </w:r>
    </w:p>
    <w:p w14:paraId="528221C8" w14:textId="1032FA13" w:rsidR="00091921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The RT-PCR reaction was carried out with Sybr Green qPCR master mix (Thermo Scientific) according to the instructions of the manufacture using a StepOne Real-Time PCR System (Applied Biosystems. California, USA). Target transcripts were amplified using the following primers: 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Glut4: </w:t>
      </w:r>
      <w:r w:rsidRPr="00097DCC">
        <w:rPr>
          <w:rFonts w:ascii="Perpetua" w:hAnsi="Perpetua"/>
          <w:color w:val="000000" w:themeColor="text1"/>
          <w:lang w:val="en-US"/>
        </w:rPr>
        <w:t xml:space="preserve">sense 5’-TCATCAGGATAAACAGCAG-3’ and antisense 5’-TACTATTGTGTTCCTTTGC-3’, </w:t>
      </w:r>
      <w:r w:rsidRPr="00097DCC">
        <w:rPr>
          <w:rFonts w:ascii="Perpetua" w:hAnsi="Perpetua"/>
          <w:i/>
          <w:color w:val="000000" w:themeColor="text1"/>
          <w:lang w:val="en-US"/>
        </w:rPr>
        <w:t>Pi3k</w:t>
      </w:r>
      <w:r w:rsidRPr="00097DCC">
        <w:rPr>
          <w:rFonts w:ascii="Perpetua" w:hAnsi="Perpetua"/>
          <w:color w:val="000000" w:themeColor="text1"/>
          <w:lang w:val="en-US"/>
        </w:rPr>
        <w:t xml:space="preserve">: sense 5’-CATGTTCTGGAAACTTCACCA-3’ and antisense 5’CCTGGGGAAACATAAACTTG-3’, and 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Irs1: </w:t>
      </w:r>
      <w:r w:rsidRPr="00097DCC">
        <w:rPr>
          <w:rFonts w:ascii="Perpetua" w:hAnsi="Perpetua"/>
          <w:color w:val="000000" w:themeColor="text1"/>
          <w:lang w:val="en-US"/>
        </w:rPr>
        <w:t xml:space="preserve">sense 5’-CCTCACAGTCTTCAGTGGCT-3’ and antisense 5’-ATAGTCCCCATTTCCTTTGC-3’. Gene expression was assessed in duplicate. Relative quantification was carried out </w:t>
      </w:r>
      <w:bookmarkStart w:id="4" w:name="_Hlk9494504"/>
      <w:r w:rsidRPr="00097DCC">
        <w:rPr>
          <w:rFonts w:ascii="Perpetua" w:hAnsi="Perpetua"/>
          <w:color w:val="000000" w:themeColor="text1"/>
          <w:lang w:val="en-US"/>
        </w:rPr>
        <w:t>with the 2-</w:t>
      </w:r>
      <w:r w:rsidRPr="00097DCC">
        <w:rPr>
          <w:rFonts w:ascii="Perpetua" w:hAnsi="Perpetua"/>
          <w:color w:val="000000" w:themeColor="text1"/>
          <w:lang w:val="en-US"/>
        </w:rPr>
        <w:sym w:font="Symbol" w:char="F044"/>
      </w:r>
      <w:r w:rsidRPr="00097DCC">
        <w:rPr>
          <w:rFonts w:ascii="Perpetua" w:hAnsi="Perpetua"/>
          <w:color w:val="000000" w:themeColor="text1"/>
          <w:lang w:val="en-US"/>
        </w:rPr>
        <w:sym w:font="Symbol" w:char="F044"/>
      </w:r>
      <w:r w:rsidRPr="00097DCC">
        <w:rPr>
          <w:rFonts w:ascii="Perpetua" w:hAnsi="Perpetua"/>
          <w:color w:val="000000" w:themeColor="text1"/>
          <w:lang w:val="en-US"/>
        </w:rPr>
        <w:t>CT method</w:t>
      </w:r>
      <w:bookmarkEnd w:id="4"/>
      <w:r w:rsidRPr="00097DCC">
        <w:rPr>
          <w:rFonts w:ascii="Perpetua" w:hAnsi="Perpetua"/>
          <w:color w:val="000000" w:themeColor="text1"/>
          <w:lang w:val="en-US"/>
        </w:rPr>
        <w:t xml:space="preserve"> </w:t>
      </w:r>
      <w:r w:rsidR="000046F5" w:rsidRPr="00097DCC">
        <w:rPr>
          <w:rFonts w:ascii="Perpetua" w:hAnsi="Perpetua"/>
          <w:color w:val="000000" w:themeColor="text1"/>
          <w:lang w:val="en-US"/>
        </w:rPr>
        <w:t>[6]</w:t>
      </w:r>
      <w:r w:rsidRPr="00097DCC">
        <w:rPr>
          <w:rFonts w:ascii="Perpetua" w:hAnsi="Perpetua"/>
          <w:color w:val="000000" w:themeColor="text1"/>
          <w:lang w:val="en-US"/>
        </w:rPr>
        <w:t xml:space="preserve"> using 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Actin </w:t>
      </w:r>
      <w:r w:rsidRPr="00097DCC">
        <w:rPr>
          <w:rFonts w:ascii="Perpetua" w:hAnsi="Perpetua"/>
          <w:iCs/>
          <w:color w:val="000000" w:themeColor="text1"/>
          <w:lang w:val="en-US"/>
        </w:rPr>
        <w:t>(</w:t>
      </w:r>
      <w:r w:rsidRPr="00097DCC">
        <w:rPr>
          <w:rFonts w:ascii="Perpetua" w:hAnsi="Perpetua"/>
          <w:color w:val="000000" w:themeColor="text1"/>
          <w:lang w:val="en-US"/>
        </w:rPr>
        <w:t>sense 5’- GCTACAGCTTCACCACCACA-3’ and antisense 5’- AGTTTCATGGATGCCACAGG-3’)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 </w:t>
      </w:r>
      <w:r w:rsidRPr="00097DCC">
        <w:rPr>
          <w:rFonts w:ascii="Perpetua" w:hAnsi="Perpetua"/>
          <w:color w:val="000000" w:themeColor="text1"/>
          <w:lang w:val="en-US"/>
        </w:rPr>
        <w:t xml:space="preserve">and </w:t>
      </w:r>
      <w:r w:rsidRPr="00097DCC">
        <w:rPr>
          <w:rFonts w:ascii="Perpetua" w:hAnsi="Perpetua"/>
          <w:i/>
          <w:color w:val="000000" w:themeColor="text1"/>
          <w:lang w:val="en-US"/>
        </w:rPr>
        <w:t xml:space="preserve">18S </w:t>
      </w:r>
      <w:r w:rsidRPr="00097DCC">
        <w:rPr>
          <w:rFonts w:ascii="Perpetua" w:hAnsi="Perpetua"/>
          <w:iCs/>
          <w:color w:val="000000" w:themeColor="text1"/>
          <w:lang w:val="en-US"/>
        </w:rPr>
        <w:t>(</w:t>
      </w:r>
      <w:r w:rsidRPr="00097DCC">
        <w:rPr>
          <w:rFonts w:ascii="Perpetua" w:hAnsi="Perpetua"/>
          <w:color w:val="000000" w:themeColor="text1"/>
          <w:lang w:val="en-US"/>
        </w:rPr>
        <w:t xml:space="preserve">sense 5’- GGAGCGATTTGTCTGGGTTA-3’ and antisense 5’- GTAGGGTAGGCACACGCTGA-3’) as reference genes. </w:t>
      </w:r>
    </w:p>
    <w:p w14:paraId="6556CF7E" w14:textId="7BCE0A86" w:rsidR="00091921" w:rsidRPr="00097DCC" w:rsidRDefault="00CB4039" w:rsidP="00097DCC">
      <w:pPr>
        <w:spacing w:line="480" w:lineRule="auto"/>
        <w:jc w:val="both"/>
        <w:rPr>
          <w:rFonts w:ascii="Perpetua" w:hAnsi="Perpetua"/>
          <w:i/>
          <w:color w:val="000000" w:themeColor="text1"/>
          <w:lang w:val="en-US" w:eastAsia="es-MX"/>
        </w:rPr>
      </w:pPr>
      <w:r w:rsidRPr="00097DCC">
        <w:rPr>
          <w:rFonts w:ascii="Perpetua" w:hAnsi="Perpetua"/>
          <w:i/>
          <w:color w:val="000000" w:themeColor="text1"/>
          <w:lang w:val="en-US" w:eastAsia="es-MX"/>
        </w:rPr>
        <w:t>1</w:t>
      </w:r>
      <w:r w:rsidR="00091921" w:rsidRPr="00097DCC">
        <w:rPr>
          <w:rFonts w:ascii="Perpetua" w:hAnsi="Perpetua"/>
          <w:i/>
          <w:color w:val="000000" w:themeColor="text1"/>
          <w:lang w:val="en-US" w:eastAsia="es-MX"/>
        </w:rPr>
        <w:t>.8. Polyphenol profile</w:t>
      </w:r>
    </w:p>
    <w:p w14:paraId="542E4894" w14:textId="3E989315" w:rsidR="00E60D2B" w:rsidRPr="00097DCC" w:rsidRDefault="00091921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The polyphenol profile was assessed by Ultra-Performance Liquid Chromatography (UPLC) coupled to a Quadrupole-Time of Flight (QTOF) with an atmospheric pressure Electrospray Ionization (ESI) interphase (Vion, Waters Co, MA, USA). The column used was an Acquity BEH C18 (100 x 2.1 mm, </w:t>
      </w:r>
      <w:r w:rsidRPr="00097DCC">
        <w:rPr>
          <w:rFonts w:ascii="Perpetua" w:hAnsi="Perpetua"/>
          <w:color w:val="000000" w:themeColor="text1"/>
          <w:lang w:val="en-US"/>
        </w:rPr>
        <w:lastRenderedPageBreak/>
        <w:t xml:space="preserve">1.7 </w:t>
      </w:r>
      <w:r w:rsidRPr="00097DCC">
        <w:rPr>
          <w:rFonts w:ascii="Perpetua" w:hAnsi="Perpetua"/>
          <w:color w:val="000000" w:themeColor="text1"/>
          <w:lang w:val="en-US"/>
        </w:rPr>
        <w:sym w:font="Symbol" w:char="F06D"/>
      </w:r>
      <w:r w:rsidRPr="00097DCC">
        <w:rPr>
          <w:rFonts w:ascii="Perpetua" w:hAnsi="Perpetua"/>
          <w:color w:val="000000" w:themeColor="text1"/>
          <w:lang w:val="en-US"/>
        </w:rPr>
        <w:t xml:space="preserve">m) using the conditions reported previously by Rodríguez-Gonzalez </w:t>
      </w:r>
      <w:r w:rsidRPr="00097DCC">
        <w:rPr>
          <w:rFonts w:ascii="Perpetua" w:hAnsi="Perpetua"/>
          <w:iCs/>
          <w:color w:val="000000" w:themeColor="text1"/>
          <w:lang w:val="en-US"/>
        </w:rPr>
        <w:t>et al</w:t>
      </w:r>
      <w:r w:rsidRPr="00097DCC">
        <w:rPr>
          <w:rFonts w:ascii="Perpetua" w:hAnsi="Perpetua"/>
          <w:color w:val="000000" w:themeColor="text1"/>
          <w:lang w:val="en-US"/>
        </w:rPr>
        <w:t xml:space="preserve">. </w:t>
      </w:r>
      <w:r w:rsidR="000046F5" w:rsidRPr="00097DCC">
        <w:rPr>
          <w:rFonts w:ascii="Perpetua" w:hAnsi="Perpetua"/>
          <w:color w:val="000000" w:themeColor="text1"/>
          <w:lang w:val="en-US"/>
        </w:rPr>
        <w:t>[7].</w:t>
      </w:r>
      <w:r w:rsidRPr="00097DCC">
        <w:rPr>
          <w:rFonts w:ascii="Perpetua" w:hAnsi="Perpetua"/>
          <w:color w:val="000000" w:themeColor="text1"/>
          <w:lang w:val="en-US"/>
        </w:rPr>
        <w:t xml:space="preserve"> Data acquisition was carried out with UNIFI Scientific Information System (Waters Co). Polyphenols were identified by comparison of elemental composition with the exact mass of the </w:t>
      </w:r>
      <w:r w:rsidR="006820A0" w:rsidRPr="00097DCC">
        <w:rPr>
          <w:rFonts w:ascii="Perpetua" w:hAnsi="Perpetua"/>
          <w:color w:val="000000" w:themeColor="text1"/>
          <w:lang w:val="en-US"/>
        </w:rPr>
        <w:t>pseudo molecular</w:t>
      </w:r>
      <w:r w:rsidRPr="00097DCC">
        <w:rPr>
          <w:rFonts w:ascii="Perpetua" w:hAnsi="Perpetua"/>
          <w:color w:val="000000" w:themeColor="text1"/>
          <w:lang w:val="en-US"/>
        </w:rPr>
        <w:t xml:space="preserve"> ion (error mass &lt;5 ppm) using Phenol-Explorer database (</w:t>
      </w:r>
      <w:hyperlink r:id="rId9" w:history="1">
        <w:r w:rsidRPr="00097DCC">
          <w:rPr>
            <w:rStyle w:val="Hipervnculo"/>
            <w:rFonts w:ascii="Perpetua" w:hAnsi="Perpetua"/>
            <w:color w:val="000000" w:themeColor="text1"/>
            <w:lang w:val="en-US"/>
          </w:rPr>
          <w:t>http://phenol-explorer.eu</w:t>
        </w:r>
      </w:hyperlink>
      <w:r w:rsidRPr="00097DCC">
        <w:rPr>
          <w:rFonts w:ascii="Perpetua" w:hAnsi="Perpetua"/>
          <w:color w:val="000000" w:themeColor="text1"/>
          <w:lang w:val="en-US"/>
        </w:rPr>
        <w:t>), analysis of fragmentation pattern and isotopic distribution.</w:t>
      </w:r>
      <w:r w:rsidR="00361838" w:rsidRPr="00097DCC">
        <w:rPr>
          <w:rFonts w:ascii="Perpetua" w:hAnsi="Perpetua"/>
          <w:color w:val="000000" w:themeColor="text1"/>
          <w:lang w:val="en-US"/>
        </w:rPr>
        <w:t xml:space="preserve"> The </w:t>
      </w:r>
      <w:r w:rsidR="00F75C35" w:rsidRPr="00097DCC">
        <w:rPr>
          <w:rFonts w:ascii="Perpetua" w:hAnsi="Perpetua"/>
          <w:color w:val="000000" w:themeColor="text1"/>
          <w:lang w:val="en-US"/>
        </w:rPr>
        <w:t>high-resolution</w:t>
      </w:r>
      <w:r w:rsidR="00361838" w:rsidRPr="00097DCC">
        <w:rPr>
          <w:rFonts w:ascii="Perpetua" w:hAnsi="Perpetua"/>
          <w:color w:val="000000" w:themeColor="text1"/>
          <w:lang w:val="en-US"/>
        </w:rPr>
        <w:t xml:space="preserve"> mass spectra of the main polyphenols identified in the herbal extracts are shown in Figures 1S-9S.</w:t>
      </w:r>
    </w:p>
    <w:p w14:paraId="2F486661" w14:textId="0FEDC505" w:rsidR="00312A88" w:rsidRPr="00097DCC" w:rsidRDefault="00312A88" w:rsidP="00097DCC">
      <w:pPr>
        <w:spacing w:line="480" w:lineRule="auto"/>
        <w:jc w:val="both"/>
        <w:rPr>
          <w:rFonts w:ascii="Perpetua" w:hAnsi="Perpetua"/>
          <w:b/>
          <w:bCs/>
          <w:color w:val="000000" w:themeColor="text1"/>
          <w:lang w:val="en-US"/>
        </w:rPr>
      </w:pPr>
      <w:r w:rsidRPr="00097DCC">
        <w:rPr>
          <w:rFonts w:ascii="Perpetua" w:hAnsi="Perpetua"/>
          <w:b/>
          <w:bCs/>
          <w:color w:val="000000" w:themeColor="text1"/>
          <w:lang w:val="en-US"/>
        </w:rPr>
        <w:t>References</w:t>
      </w:r>
    </w:p>
    <w:p w14:paraId="3A7AE2F8" w14:textId="6200477E" w:rsidR="000046F5" w:rsidRPr="00097DCC" w:rsidRDefault="000046F5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 w:eastAsia="es-MX"/>
        </w:rPr>
      </w:pPr>
      <w:r w:rsidRPr="00097DCC">
        <w:rPr>
          <w:rFonts w:ascii="Perpetua" w:hAnsi="Perpetua"/>
          <w:color w:val="000000" w:themeColor="text1"/>
          <w:lang w:val="en-US" w:eastAsia="es-MX"/>
        </w:rPr>
        <w:t xml:space="preserve">1. Hernández-Saavedra D, Pérez-Ramírez IF, Ramos-Gómez M, Mendoza-Díaz S, </w:t>
      </w:r>
      <w:proofErr w:type="spellStart"/>
      <w:r w:rsidRPr="00097DCC">
        <w:rPr>
          <w:rFonts w:ascii="Perpetua" w:hAnsi="Perpetua"/>
          <w:color w:val="000000" w:themeColor="text1"/>
          <w:lang w:val="en-US" w:eastAsia="es-MX"/>
        </w:rPr>
        <w:t>Loarca</w:t>
      </w:r>
      <w:proofErr w:type="spellEnd"/>
      <w:r w:rsidRPr="00097DCC">
        <w:rPr>
          <w:rFonts w:ascii="Perpetua" w:hAnsi="Perpetua"/>
          <w:color w:val="000000" w:themeColor="text1"/>
          <w:lang w:val="en-US" w:eastAsia="es-MX"/>
        </w:rPr>
        <w:t xml:space="preserve">-Pina G, Reynoso-Camacho R (2016) Phytochemical characterization and effect of </w:t>
      </w:r>
      <w:r w:rsidRPr="00097DCC">
        <w:rPr>
          <w:rFonts w:ascii="Perpetua" w:hAnsi="Perpetua"/>
          <w:i/>
          <w:iCs/>
          <w:color w:val="000000" w:themeColor="text1"/>
          <w:lang w:val="en-US" w:eastAsia="es-MX"/>
        </w:rPr>
        <w:t>Calendula officinalis</w:t>
      </w:r>
      <w:r w:rsidRPr="00097DCC">
        <w:rPr>
          <w:rFonts w:ascii="Perpetua" w:hAnsi="Perpetua"/>
          <w:color w:val="000000" w:themeColor="text1"/>
          <w:lang w:val="en-US" w:eastAsia="es-MX"/>
        </w:rPr>
        <w:t xml:space="preserve">, </w:t>
      </w:r>
      <w:r w:rsidRPr="00097DCC">
        <w:rPr>
          <w:rFonts w:ascii="Perpetua" w:hAnsi="Perpetua"/>
          <w:i/>
          <w:iCs/>
          <w:color w:val="000000" w:themeColor="text1"/>
          <w:lang w:val="en-US" w:eastAsia="es-MX"/>
        </w:rPr>
        <w:t xml:space="preserve">Hypericum </w:t>
      </w:r>
      <w:proofErr w:type="spellStart"/>
      <w:r w:rsidRPr="00097DCC">
        <w:rPr>
          <w:rFonts w:ascii="Perpetua" w:hAnsi="Perpetua"/>
          <w:i/>
          <w:iCs/>
          <w:color w:val="000000" w:themeColor="text1"/>
          <w:lang w:val="en-US" w:eastAsia="es-MX"/>
        </w:rPr>
        <w:t>perforatum</w:t>
      </w:r>
      <w:proofErr w:type="spellEnd"/>
      <w:r w:rsidRPr="00097DCC">
        <w:rPr>
          <w:rFonts w:ascii="Perpetua" w:hAnsi="Perpetua"/>
          <w:color w:val="000000" w:themeColor="text1"/>
          <w:lang w:val="en-US" w:eastAsia="es-MX"/>
        </w:rPr>
        <w:t xml:space="preserve">, and </w:t>
      </w:r>
      <w:r w:rsidRPr="00097DCC">
        <w:rPr>
          <w:rFonts w:ascii="Perpetua" w:hAnsi="Perpetua"/>
          <w:i/>
          <w:iCs/>
          <w:color w:val="000000" w:themeColor="text1"/>
          <w:lang w:val="en-US" w:eastAsia="es-MX"/>
        </w:rPr>
        <w:t>Salvia officinalis</w:t>
      </w:r>
      <w:r w:rsidRPr="00097DCC">
        <w:rPr>
          <w:rFonts w:ascii="Perpetua" w:hAnsi="Perpetua"/>
          <w:color w:val="000000" w:themeColor="text1"/>
          <w:lang w:val="en-US" w:eastAsia="es-MX"/>
        </w:rPr>
        <w:t xml:space="preserve"> infusions on obesity-associated cardiovascular risk. Med Chem Res 25:163-172.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 xml:space="preserve"> </w:t>
      </w:r>
      <w:r w:rsidRPr="00097DCC">
        <w:rPr>
          <w:rFonts w:ascii="Perpetua" w:hAnsi="Perpetua"/>
          <w:color w:val="000000" w:themeColor="text1"/>
          <w:lang w:val="en-US"/>
        </w:rPr>
        <w:t>https://doi.org/</w:t>
      </w:r>
      <w:r w:rsidRPr="00097DCC">
        <w:rPr>
          <w:rFonts w:ascii="Perpetua" w:hAnsi="Perpetua"/>
          <w:color w:val="000000" w:themeColor="text1"/>
          <w:shd w:val="clear" w:color="auto" w:fill="FFFFFF"/>
          <w:lang w:val="en-US"/>
        </w:rPr>
        <w:t>10.1007/s00044-015-1454-1</w:t>
      </w:r>
    </w:p>
    <w:p w14:paraId="014C377A" w14:textId="5417D6AF" w:rsidR="00312A88" w:rsidRPr="00097DCC" w:rsidRDefault="000046F5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/>
        </w:rPr>
      </w:pPr>
      <w:r w:rsidRPr="00097DCC">
        <w:rPr>
          <w:rFonts w:ascii="Perpetua" w:hAnsi="Perpetua"/>
          <w:color w:val="000000" w:themeColor="text1"/>
          <w:lang w:val="en-US"/>
        </w:rPr>
        <w:t xml:space="preserve">2. </w:t>
      </w:r>
      <w:r w:rsidR="00312A88" w:rsidRPr="00097DCC">
        <w:rPr>
          <w:rFonts w:ascii="Perpetua" w:hAnsi="Perpetua"/>
          <w:color w:val="000000" w:themeColor="text1"/>
          <w:lang w:val="en-US"/>
        </w:rPr>
        <w:t xml:space="preserve">Apostolidis E, Kwon YI, Shetty K (2007) Inhibitory potential of herb, fruit, and fungal-enriched cheese against key enzymes linked to type 2 diabetes and hypertension. </w:t>
      </w:r>
      <w:proofErr w:type="spellStart"/>
      <w:r w:rsidR="001D0C97" w:rsidRPr="00097DCC">
        <w:rPr>
          <w:rFonts w:ascii="Perpetua" w:hAnsi="Perpetua"/>
          <w:color w:val="000000" w:themeColor="text1"/>
          <w:lang w:val="en-US"/>
        </w:rPr>
        <w:t>Innov</w:t>
      </w:r>
      <w:proofErr w:type="spellEnd"/>
      <w:r w:rsidR="001D0C97" w:rsidRPr="00097DCC">
        <w:rPr>
          <w:rFonts w:ascii="Perpetua" w:hAnsi="Perpetua"/>
          <w:color w:val="000000" w:themeColor="text1"/>
          <w:lang w:val="en-US"/>
        </w:rPr>
        <w:t xml:space="preserve"> Food Sci </w:t>
      </w:r>
      <w:proofErr w:type="spellStart"/>
      <w:r w:rsidR="001D0C97" w:rsidRPr="00097DCC">
        <w:rPr>
          <w:rFonts w:ascii="Perpetua" w:hAnsi="Perpetua"/>
          <w:color w:val="000000" w:themeColor="text1"/>
          <w:lang w:val="en-US"/>
        </w:rPr>
        <w:t>Emerg</w:t>
      </w:r>
      <w:proofErr w:type="spellEnd"/>
      <w:r w:rsidR="001D0C97" w:rsidRPr="00097DCC">
        <w:rPr>
          <w:rFonts w:ascii="Perpetua" w:hAnsi="Perpetua"/>
          <w:color w:val="000000" w:themeColor="text1"/>
          <w:lang w:val="en-US"/>
        </w:rPr>
        <w:t xml:space="preserve"> Technol</w:t>
      </w:r>
      <w:r w:rsidR="00312A88" w:rsidRPr="00097DCC">
        <w:rPr>
          <w:rFonts w:ascii="Perpetua" w:hAnsi="Perpetua"/>
          <w:color w:val="000000" w:themeColor="text1"/>
          <w:lang w:val="en-US"/>
        </w:rPr>
        <w:t xml:space="preserve"> 8</w:t>
      </w:r>
      <w:r w:rsidR="001D0C97" w:rsidRPr="00097DCC">
        <w:rPr>
          <w:rFonts w:ascii="Perpetua" w:hAnsi="Perpetua"/>
          <w:color w:val="000000" w:themeColor="text1"/>
          <w:lang w:val="en-US"/>
        </w:rPr>
        <w:t>:</w:t>
      </w:r>
      <w:r w:rsidR="00312A88" w:rsidRPr="00097DCC">
        <w:rPr>
          <w:rFonts w:ascii="Perpetua" w:hAnsi="Perpetua"/>
          <w:color w:val="000000" w:themeColor="text1"/>
          <w:lang w:val="en-US"/>
        </w:rPr>
        <w:t xml:space="preserve">46-54. </w:t>
      </w:r>
      <w:r w:rsidR="001D0C97" w:rsidRPr="00097DCC">
        <w:rPr>
          <w:rFonts w:ascii="Perpetua" w:hAnsi="Perpetua"/>
          <w:color w:val="000000" w:themeColor="text1"/>
          <w:lang w:val="en-US"/>
        </w:rPr>
        <w:t>https://doi.org/</w:t>
      </w:r>
      <w:r w:rsidR="00312A88" w:rsidRPr="00097DCC">
        <w:rPr>
          <w:rFonts w:ascii="Perpetua" w:hAnsi="Perpetua"/>
          <w:color w:val="000000" w:themeColor="text1"/>
          <w:lang w:val="en-US"/>
        </w:rPr>
        <w:t xml:space="preserve">10.1016/j.ifset.2006.06.001 </w:t>
      </w:r>
    </w:p>
    <w:p w14:paraId="283205B8" w14:textId="156B17EA" w:rsidR="00312A88" w:rsidRPr="00097DCC" w:rsidRDefault="00312A88" w:rsidP="00097DCC">
      <w:pPr>
        <w:spacing w:line="480" w:lineRule="auto"/>
        <w:jc w:val="both"/>
        <w:rPr>
          <w:rFonts w:ascii="Perpetua" w:hAnsi="Perpetua"/>
          <w:iCs/>
          <w:color w:val="000000" w:themeColor="text1"/>
          <w:lang w:val="en-US" w:eastAsia="es-MX"/>
        </w:rPr>
      </w:pPr>
      <w:r w:rsidRPr="00F75C35">
        <w:rPr>
          <w:rFonts w:ascii="Perpetua" w:hAnsi="Perpetua"/>
          <w:iCs/>
          <w:color w:val="000000" w:themeColor="text1"/>
          <w:lang w:val="en-US" w:eastAsia="es-MX"/>
        </w:rPr>
        <w:t>Pérez-Ramírez IF, González-</w:t>
      </w:r>
      <w:proofErr w:type="spellStart"/>
      <w:r w:rsidRPr="00F75C35">
        <w:rPr>
          <w:rFonts w:ascii="Perpetua" w:hAnsi="Perpetua"/>
          <w:iCs/>
          <w:color w:val="000000" w:themeColor="text1"/>
          <w:lang w:val="en-US" w:eastAsia="es-MX"/>
        </w:rPr>
        <w:t>Dávalos</w:t>
      </w:r>
      <w:proofErr w:type="spellEnd"/>
      <w:r w:rsidRPr="00F75C35">
        <w:rPr>
          <w:rFonts w:ascii="Perpetua" w:hAnsi="Perpetua"/>
          <w:iCs/>
          <w:color w:val="000000" w:themeColor="text1"/>
          <w:lang w:val="en-US" w:eastAsia="es-MX"/>
        </w:rPr>
        <w:t xml:space="preserve"> ML, Mora O, Gallegos-Corona MA, Reynoso</w:t>
      </w:r>
      <w:r w:rsidR="00F75C35">
        <w:rPr>
          <w:rFonts w:ascii="Perpetua" w:hAnsi="Perpetua"/>
          <w:iCs/>
          <w:color w:val="000000" w:themeColor="text1"/>
          <w:lang w:val="en-US" w:eastAsia="es-MX"/>
        </w:rPr>
        <w:t>-</w:t>
      </w:r>
      <w:r w:rsidRPr="00097DCC">
        <w:rPr>
          <w:rFonts w:ascii="Perpetua" w:hAnsi="Perpetua"/>
          <w:iCs/>
          <w:color w:val="000000" w:themeColor="text1"/>
          <w:lang w:val="en-US" w:eastAsia="es-MX"/>
        </w:rPr>
        <w:t xml:space="preserve">Camacho R (2017) Effect of </w:t>
      </w:r>
      <w:proofErr w:type="spellStart"/>
      <w:r w:rsidRPr="00097DCC">
        <w:rPr>
          <w:rFonts w:ascii="Perpetua" w:hAnsi="Perpetua"/>
          <w:i/>
          <w:color w:val="000000" w:themeColor="text1"/>
          <w:lang w:val="en-US" w:eastAsia="es-MX"/>
        </w:rPr>
        <w:t>Ocimum</w:t>
      </w:r>
      <w:proofErr w:type="spellEnd"/>
      <w:r w:rsidRPr="00097DCC">
        <w:rPr>
          <w:rFonts w:ascii="Perpetua" w:hAnsi="Perpetua"/>
          <w:i/>
          <w:color w:val="000000" w:themeColor="text1"/>
          <w:lang w:val="en-US" w:eastAsia="es-MX"/>
        </w:rPr>
        <w:t xml:space="preserve"> sanctum </w:t>
      </w:r>
      <w:r w:rsidRPr="00097DCC">
        <w:rPr>
          <w:rFonts w:ascii="Perpetua" w:hAnsi="Perpetua"/>
          <w:iCs/>
          <w:color w:val="000000" w:themeColor="text1"/>
          <w:lang w:val="en-US" w:eastAsia="es-MX"/>
        </w:rPr>
        <w:t xml:space="preserve">and </w:t>
      </w:r>
      <w:r w:rsidRPr="00097DCC">
        <w:rPr>
          <w:rFonts w:ascii="Perpetua" w:hAnsi="Perpetua"/>
          <w:i/>
          <w:color w:val="000000" w:themeColor="text1"/>
          <w:lang w:val="en-US" w:eastAsia="es-MX"/>
        </w:rPr>
        <w:t xml:space="preserve">Crataegus </w:t>
      </w:r>
      <w:proofErr w:type="spellStart"/>
      <w:r w:rsidRPr="00097DCC">
        <w:rPr>
          <w:rFonts w:ascii="Perpetua" w:hAnsi="Perpetua"/>
          <w:i/>
          <w:color w:val="000000" w:themeColor="text1"/>
          <w:lang w:val="en-US" w:eastAsia="es-MX"/>
        </w:rPr>
        <w:t>pubescens</w:t>
      </w:r>
      <w:proofErr w:type="spellEnd"/>
      <w:r w:rsidRPr="00097DCC">
        <w:rPr>
          <w:rFonts w:ascii="Perpetua" w:hAnsi="Perpetua"/>
          <w:i/>
          <w:color w:val="000000" w:themeColor="text1"/>
          <w:lang w:val="en-US" w:eastAsia="es-MX"/>
        </w:rPr>
        <w:t xml:space="preserve"> </w:t>
      </w:r>
      <w:r w:rsidRPr="00097DCC">
        <w:rPr>
          <w:rFonts w:ascii="Perpetua" w:hAnsi="Perpetua"/>
          <w:iCs/>
          <w:color w:val="000000" w:themeColor="text1"/>
          <w:lang w:val="en-US" w:eastAsia="es-MX"/>
        </w:rPr>
        <w:t xml:space="preserve">aqueous extracts on obesity, inflammation, and glucose metabolism. </w:t>
      </w:r>
      <w:r w:rsidR="001D0C97" w:rsidRPr="00097DCC">
        <w:rPr>
          <w:rFonts w:ascii="Perpetua" w:hAnsi="Perpetua"/>
          <w:iCs/>
          <w:color w:val="000000" w:themeColor="text1"/>
          <w:lang w:val="en-US" w:eastAsia="es-MX"/>
        </w:rPr>
        <w:t xml:space="preserve">J </w:t>
      </w:r>
      <w:proofErr w:type="spellStart"/>
      <w:r w:rsidR="001D0C97" w:rsidRPr="00097DCC">
        <w:rPr>
          <w:rFonts w:ascii="Perpetua" w:hAnsi="Perpetua"/>
          <w:iCs/>
          <w:color w:val="000000" w:themeColor="text1"/>
          <w:lang w:val="en-US" w:eastAsia="es-MX"/>
        </w:rPr>
        <w:t>Funct</w:t>
      </w:r>
      <w:proofErr w:type="spellEnd"/>
      <w:r w:rsidR="001D0C97" w:rsidRPr="00097DCC">
        <w:rPr>
          <w:rFonts w:ascii="Perpetua" w:hAnsi="Perpetua"/>
          <w:iCs/>
          <w:color w:val="000000" w:themeColor="text1"/>
          <w:lang w:val="en-US" w:eastAsia="es-MX"/>
        </w:rPr>
        <w:t xml:space="preserve"> Foods</w:t>
      </w:r>
      <w:r w:rsidR="001D0C97" w:rsidRPr="00097DCC">
        <w:rPr>
          <w:rFonts w:ascii="Perpetua" w:hAnsi="Perpetua"/>
          <w:i/>
          <w:color w:val="000000" w:themeColor="text1"/>
          <w:lang w:val="en-US" w:eastAsia="es-MX"/>
        </w:rPr>
        <w:t xml:space="preserve"> </w:t>
      </w:r>
      <w:r w:rsidR="001D0C97" w:rsidRPr="00097DCC">
        <w:rPr>
          <w:rFonts w:ascii="Perpetua" w:hAnsi="Perpetua"/>
          <w:iCs/>
          <w:color w:val="000000" w:themeColor="text1"/>
          <w:lang w:val="en-US" w:eastAsia="es-MX"/>
        </w:rPr>
        <w:t>35:</w:t>
      </w:r>
      <w:r w:rsidRPr="00097DCC">
        <w:rPr>
          <w:rFonts w:ascii="Perpetua" w:hAnsi="Perpetua"/>
          <w:iCs/>
          <w:color w:val="000000" w:themeColor="text1"/>
          <w:lang w:val="en-US" w:eastAsia="es-MX"/>
        </w:rPr>
        <w:t xml:space="preserve">24-31. </w:t>
      </w:r>
      <w:r w:rsidR="001D0C97" w:rsidRPr="00097DCC">
        <w:rPr>
          <w:rFonts w:ascii="Perpetua" w:hAnsi="Perpetua"/>
          <w:color w:val="000000" w:themeColor="text1"/>
          <w:lang w:val="en-US"/>
        </w:rPr>
        <w:t>https://doi.org/</w:t>
      </w:r>
      <w:r w:rsidRPr="00097DCC">
        <w:rPr>
          <w:rFonts w:ascii="Perpetua" w:hAnsi="Perpetua"/>
          <w:iCs/>
          <w:color w:val="000000" w:themeColor="text1"/>
          <w:lang w:val="en-US" w:eastAsia="es-MX"/>
        </w:rPr>
        <w:t xml:space="preserve">10.1016/j.jff.2017.05.028 </w:t>
      </w:r>
    </w:p>
    <w:p w14:paraId="1D84E455" w14:textId="2C925CC3" w:rsidR="00312A88" w:rsidRPr="00097DCC" w:rsidRDefault="000046F5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 w:eastAsia="es-MX"/>
        </w:rPr>
      </w:pPr>
      <w:r w:rsidRPr="00097DCC">
        <w:rPr>
          <w:rFonts w:ascii="Perpetua" w:hAnsi="Perpetua"/>
          <w:color w:val="000000" w:themeColor="text1"/>
          <w:lang w:val="en-US" w:eastAsia="es-MX"/>
        </w:rPr>
        <w:t xml:space="preserve">4. 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Urso B, Cope D, </w:t>
      </w:r>
      <w:proofErr w:type="spellStart"/>
      <w:r w:rsidR="00312A88" w:rsidRPr="00097DCC">
        <w:rPr>
          <w:rFonts w:ascii="Perpetua" w:hAnsi="Perpetua"/>
          <w:color w:val="000000" w:themeColor="text1"/>
          <w:lang w:val="en-US" w:eastAsia="es-MX"/>
        </w:rPr>
        <w:t>Kallo</w:t>
      </w:r>
      <w:proofErr w:type="spellEnd"/>
      <w:r w:rsidR="001D0C97" w:rsidRPr="00097DCC">
        <w:rPr>
          <w:rFonts w:ascii="Perpetua" w:hAnsi="Perpetua"/>
          <w:color w:val="000000" w:themeColor="text1"/>
          <w:lang w:val="en-US" w:eastAsia="es-MX"/>
        </w:rPr>
        <w:t xml:space="preserve"> 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H, Hayward A, Whitehead J, </w:t>
      </w:r>
      <w:proofErr w:type="spellStart"/>
      <w:r w:rsidR="00312A88" w:rsidRPr="00097DCC">
        <w:rPr>
          <w:rFonts w:ascii="Perpetua" w:hAnsi="Perpetua"/>
          <w:color w:val="000000" w:themeColor="text1"/>
          <w:lang w:val="en-US" w:eastAsia="es-MX"/>
        </w:rPr>
        <w:t>O'Rahilly</w:t>
      </w:r>
      <w:proofErr w:type="spellEnd"/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 S, </w:t>
      </w:r>
      <w:proofErr w:type="spellStart"/>
      <w:r w:rsidR="00312A88" w:rsidRPr="00097DCC">
        <w:rPr>
          <w:rFonts w:ascii="Perpetua" w:hAnsi="Perpetua"/>
          <w:color w:val="000000" w:themeColor="text1"/>
          <w:lang w:val="en-US" w:eastAsia="es-MX"/>
        </w:rPr>
        <w:t>Siddle</w:t>
      </w:r>
      <w:proofErr w:type="spellEnd"/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 K (1999) Differences in signaling properties of the cytoplasmic domains of the insulin receptor and insulin-like growth factor receptor in 3T3-L1 adipocytes. </w:t>
      </w:r>
      <w:r w:rsidR="001D0C97" w:rsidRPr="00097DCC">
        <w:rPr>
          <w:rFonts w:ascii="Perpetua" w:hAnsi="Perpetua"/>
          <w:color w:val="000000" w:themeColor="text1"/>
          <w:lang w:val="en-US" w:eastAsia="es-MX"/>
        </w:rPr>
        <w:t xml:space="preserve">J Biol Chem 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>274</w:t>
      </w:r>
      <w:r w:rsidR="001D0C97" w:rsidRPr="00097DCC">
        <w:rPr>
          <w:rFonts w:ascii="Perpetua" w:hAnsi="Perpetua"/>
          <w:color w:val="000000" w:themeColor="text1"/>
          <w:lang w:val="en-US" w:eastAsia="es-MX"/>
        </w:rPr>
        <w:t>: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30864-30873. </w:t>
      </w:r>
      <w:r w:rsidR="001D0C97" w:rsidRPr="00097DCC">
        <w:rPr>
          <w:rFonts w:ascii="Perpetua" w:hAnsi="Perpetua"/>
          <w:color w:val="000000" w:themeColor="text1"/>
          <w:lang w:val="en-US"/>
        </w:rPr>
        <w:t>https://doi.org/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>10.1074/jbc.274.43.30864</w:t>
      </w:r>
    </w:p>
    <w:p w14:paraId="06381FB9" w14:textId="0551908B" w:rsidR="00312A88" w:rsidRPr="00097DCC" w:rsidRDefault="000046F5" w:rsidP="00097DCC">
      <w:pPr>
        <w:spacing w:line="480" w:lineRule="auto"/>
        <w:jc w:val="both"/>
        <w:rPr>
          <w:rFonts w:ascii="Perpetua" w:hAnsi="Perpetua"/>
          <w:color w:val="000000" w:themeColor="text1"/>
        </w:rPr>
      </w:pPr>
      <w:r w:rsidRPr="00097DCC">
        <w:rPr>
          <w:rFonts w:ascii="Perpetua" w:hAnsi="Perpetua"/>
          <w:color w:val="000000" w:themeColor="text1"/>
          <w:lang w:val="en-US"/>
        </w:rPr>
        <w:lastRenderedPageBreak/>
        <w:t xml:space="preserve">5. </w:t>
      </w:r>
      <w:proofErr w:type="spellStart"/>
      <w:r w:rsidR="00312A88" w:rsidRPr="00097DCC">
        <w:rPr>
          <w:rFonts w:ascii="Perpetua" w:hAnsi="Perpetua"/>
          <w:color w:val="000000" w:themeColor="text1"/>
          <w:lang w:val="en-US"/>
        </w:rPr>
        <w:t>Livak</w:t>
      </w:r>
      <w:proofErr w:type="spellEnd"/>
      <w:r w:rsidR="00312A88" w:rsidRPr="00097DCC">
        <w:rPr>
          <w:rFonts w:ascii="Perpetua" w:hAnsi="Perpetua"/>
          <w:color w:val="000000" w:themeColor="text1"/>
          <w:lang w:val="en-US"/>
        </w:rPr>
        <w:t xml:space="preserve"> KJ, </w:t>
      </w:r>
      <w:proofErr w:type="spellStart"/>
      <w:r w:rsidR="00312A88" w:rsidRPr="00097DCC">
        <w:rPr>
          <w:rFonts w:ascii="Perpetua" w:hAnsi="Perpetua"/>
          <w:color w:val="000000" w:themeColor="text1"/>
          <w:lang w:val="en-US"/>
        </w:rPr>
        <w:t>Schmittgen</w:t>
      </w:r>
      <w:proofErr w:type="spellEnd"/>
      <w:r w:rsidR="00312A88" w:rsidRPr="00097DCC">
        <w:rPr>
          <w:rFonts w:ascii="Perpetua" w:hAnsi="Perpetua"/>
          <w:color w:val="000000" w:themeColor="text1"/>
          <w:lang w:val="en-US"/>
        </w:rPr>
        <w:t xml:space="preserve"> TD</w:t>
      </w:r>
      <w:r w:rsidR="001D0C97" w:rsidRPr="00097DCC">
        <w:rPr>
          <w:rFonts w:ascii="Perpetua" w:hAnsi="Perpetua"/>
          <w:color w:val="000000" w:themeColor="text1"/>
          <w:lang w:val="en-US"/>
        </w:rPr>
        <w:t xml:space="preserve"> </w:t>
      </w:r>
      <w:r w:rsidR="00312A88" w:rsidRPr="00097DCC">
        <w:rPr>
          <w:rFonts w:ascii="Perpetua" w:hAnsi="Perpetua"/>
          <w:color w:val="000000" w:themeColor="text1"/>
          <w:lang w:val="en-US"/>
        </w:rPr>
        <w:t>(2001) Analysis of relative gene expression data using real-time quantitative PCR and the 2</w:t>
      </w:r>
      <w:r w:rsidR="00312A88" w:rsidRPr="00097DCC">
        <w:rPr>
          <w:rFonts w:ascii="Perpetua" w:hAnsi="Perpetua"/>
          <w:color w:val="000000" w:themeColor="text1"/>
          <w:vertAlign w:val="superscript"/>
          <w:lang w:val="en-US"/>
        </w:rPr>
        <w:t>-</w:t>
      </w:r>
      <w:r w:rsidR="00312A88" w:rsidRPr="00097DCC">
        <w:rPr>
          <w:rFonts w:ascii="Perpetua" w:hAnsi="Perpetua"/>
          <w:color w:val="000000" w:themeColor="text1"/>
          <w:vertAlign w:val="superscript"/>
          <w:lang w:val="en-US"/>
        </w:rPr>
        <w:sym w:font="Symbol" w:char="F044"/>
      </w:r>
      <w:r w:rsidR="00312A88" w:rsidRPr="00097DCC">
        <w:rPr>
          <w:rFonts w:ascii="Perpetua" w:hAnsi="Perpetua"/>
          <w:color w:val="000000" w:themeColor="text1"/>
          <w:vertAlign w:val="superscript"/>
          <w:lang w:val="en-US"/>
        </w:rPr>
        <w:sym w:font="Symbol" w:char="F044"/>
      </w:r>
      <w:r w:rsidR="00312A88" w:rsidRPr="00097DCC">
        <w:rPr>
          <w:rFonts w:ascii="Perpetua" w:hAnsi="Perpetua"/>
          <w:color w:val="000000" w:themeColor="text1"/>
          <w:vertAlign w:val="superscript"/>
          <w:lang w:val="en-US"/>
        </w:rPr>
        <w:t>Ct</w:t>
      </w:r>
      <w:r w:rsidR="00312A88" w:rsidRPr="00097DCC">
        <w:rPr>
          <w:rFonts w:ascii="Perpetua" w:hAnsi="Perpetua"/>
          <w:color w:val="000000" w:themeColor="text1"/>
          <w:lang w:val="en-US"/>
        </w:rPr>
        <w:t xml:space="preserve"> method. </w:t>
      </w:r>
      <w:r w:rsidR="00312A88" w:rsidRPr="00097DCC">
        <w:rPr>
          <w:rFonts w:ascii="Perpetua" w:hAnsi="Perpetua"/>
          <w:color w:val="000000" w:themeColor="text1"/>
        </w:rPr>
        <w:t>Methods 25</w:t>
      </w:r>
      <w:r w:rsidR="001D0C97" w:rsidRPr="00097DCC">
        <w:rPr>
          <w:rFonts w:ascii="Perpetua" w:hAnsi="Perpetua"/>
          <w:color w:val="000000" w:themeColor="text1"/>
        </w:rPr>
        <w:t>:</w:t>
      </w:r>
      <w:r w:rsidR="00312A88" w:rsidRPr="00097DCC">
        <w:rPr>
          <w:rFonts w:ascii="Perpetua" w:hAnsi="Perpetua"/>
          <w:color w:val="000000" w:themeColor="text1"/>
        </w:rPr>
        <w:t xml:space="preserve">402-408. </w:t>
      </w:r>
      <w:r w:rsidR="001D0C97" w:rsidRPr="00097DCC">
        <w:rPr>
          <w:rFonts w:ascii="Perpetua" w:hAnsi="Perpetua"/>
          <w:color w:val="000000" w:themeColor="text1"/>
        </w:rPr>
        <w:t>https://doi.org/</w:t>
      </w:r>
      <w:r w:rsidR="00312A88" w:rsidRPr="00097DCC">
        <w:rPr>
          <w:rFonts w:ascii="Perpetua" w:hAnsi="Perpetua"/>
          <w:color w:val="000000" w:themeColor="text1"/>
        </w:rPr>
        <w:t xml:space="preserve">10.1006/meth.2001.1262 </w:t>
      </w:r>
    </w:p>
    <w:p w14:paraId="5BCAF440" w14:textId="77777777" w:rsidR="00F75C35" w:rsidRDefault="000046F5" w:rsidP="00097DCC">
      <w:pPr>
        <w:spacing w:line="480" w:lineRule="auto"/>
        <w:jc w:val="both"/>
        <w:rPr>
          <w:rFonts w:ascii="Perpetua" w:hAnsi="Perpetua"/>
          <w:color w:val="000000" w:themeColor="text1"/>
          <w:lang w:val="en-US" w:eastAsia="es-MX"/>
        </w:rPr>
        <w:sectPr w:rsidR="00F75C35" w:rsidSect="001976C2">
          <w:pgSz w:w="12240" w:h="15840"/>
          <w:pgMar w:top="1417" w:right="1701" w:bottom="1417" w:left="1701" w:header="708" w:footer="708" w:gutter="0"/>
          <w:lnNumType w:countBy="1" w:restart="continuous"/>
          <w:cols w:space="708"/>
          <w:docGrid w:linePitch="360"/>
        </w:sectPr>
      </w:pPr>
      <w:r w:rsidRPr="00F75C35">
        <w:rPr>
          <w:rFonts w:ascii="Perpetua" w:hAnsi="Perpetua"/>
          <w:color w:val="000000" w:themeColor="text1"/>
          <w:lang w:val="en-US" w:eastAsia="es-MX"/>
        </w:rPr>
        <w:t xml:space="preserve">6. </w:t>
      </w:r>
      <w:r w:rsidR="00312A88" w:rsidRPr="00F75C35">
        <w:rPr>
          <w:rFonts w:ascii="Perpetua" w:hAnsi="Perpetua"/>
          <w:color w:val="000000" w:themeColor="text1"/>
          <w:lang w:val="en-US" w:eastAsia="es-MX"/>
        </w:rPr>
        <w:t>Rodríguez-González S</w:t>
      </w:r>
      <w:r w:rsidR="001C7935" w:rsidRPr="00F75C35">
        <w:rPr>
          <w:rFonts w:ascii="Perpetua" w:hAnsi="Perpetua"/>
          <w:color w:val="000000" w:themeColor="text1"/>
          <w:lang w:val="en-US" w:eastAsia="es-MX"/>
        </w:rPr>
        <w:t>,</w:t>
      </w:r>
      <w:r w:rsidR="00312A88" w:rsidRPr="00F75C35">
        <w:rPr>
          <w:rFonts w:ascii="Perpetua" w:hAnsi="Perpetua"/>
          <w:color w:val="000000" w:themeColor="text1"/>
          <w:lang w:val="en-US" w:eastAsia="es-MX"/>
        </w:rPr>
        <w:t xml:space="preserve"> Pérez-Ramírez IF, </w:t>
      </w:r>
      <w:proofErr w:type="spellStart"/>
      <w:r w:rsidR="00312A88" w:rsidRPr="00F75C35">
        <w:rPr>
          <w:rFonts w:ascii="Perpetua" w:hAnsi="Perpetua"/>
          <w:color w:val="000000" w:themeColor="text1"/>
          <w:lang w:val="en-US" w:eastAsia="es-MX"/>
        </w:rPr>
        <w:t>Castaño</w:t>
      </w:r>
      <w:proofErr w:type="spellEnd"/>
      <w:r w:rsidR="00312A88" w:rsidRPr="00F75C35">
        <w:rPr>
          <w:rFonts w:ascii="Perpetua" w:hAnsi="Perpetua"/>
          <w:color w:val="000000" w:themeColor="text1"/>
          <w:lang w:val="en-US" w:eastAsia="es-MX"/>
        </w:rPr>
        <w:t xml:space="preserve">-Tostado E, Amaya-Llano S, Rodríguez-García ME, Reynoso-Camacho R (2018) 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Improvement of </w:t>
      </w:r>
      <w:proofErr w:type="spellStart"/>
      <w:r w:rsidR="00312A88" w:rsidRPr="00097DCC">
        <w:rPr>
          <w:rFonts w:ascii="Perpetua" w:hAnsi="Perpetua"/>
          <w:color w:val="000000" w:themeColor="text1"/>
          <w:lang w:val="en-US" w:eastAsia="es-MX"/>
        </w:rPr>
        <w:t>physico</w:t>
      </w:r>
      <w:proofErr w:type="spellEnd"/>
      <w:r w:rsidR="00312A88" w:rsidRPr="00097DCC">
        <w:rPr>
          <w:rFonts w:ascii="Perpetua" w:hAnsi="Perpetua"/>
          <w:color w:val="000000" w:themeColor="text1"/>
          <w:lang w:val="en-US" w:eastAsia="es-MX"/>
        </w:rPr>
        <w:t>-chemical properties and phenolic compounds bioavailability by concentrating dietary fiber of peach (</w:t>
      </w:r>
      <w:r w:rsidR="00312A88" w:rsidRPr="00097DCC">
        <w:rPr>
          <w:rFonts w:ascii="Perpetua" w:hAnsi="Perpetua"/>
          <w:i/>
          <w:color w:val="000000" w:themeColor="text1"/>
          <w:lang w:val="en-US" w:eastAsia="es-MX"/>
        </w:rPr>
        <w:t>Prunus persica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) juice by-product. </w:t>
      </w:r>
      <w:r w:rsidR="001C7935" w:rsidRPr="00097DCC">
        <w:rPr>
          <w:rFonts w:ascii="Perpetua" w:hAnsi="Perpetua"/>
          <w:iCs/>
          <w:color w:val="000000" w:themeColor="text1"/>
          <w:lang w:val="en-US" w:eastAsia="es-MX"/>
        </w:rPr>
        <w:t xml:space="preserve">J Sci Food Agric </w:t>
      </w:r>
      <w:r w:rsidR="00312A88" w:rsidRPr="00097DCC">
        <w:rPr>
          <w:rFonts w:ascii="Perpetua" w:hAnsi="Perpetua"/>
          <w:iCs/>
          <w:color w:val="000000" w:themeColor="text1"/>
          <w:lang w:val="en-US" w:eastAsia="es-MX"/>
        </w:rPr>
        <w:t>98</w:t>
      </w:r>
      <w:r w:rsidR="001C7935" w:rsidRPr="00097DCC">
        <w:rPr>
          <w:rFonts w:ascii="Perpetua" w:hAnsi="Perpetua"/>
          <w:iCs/>
          <w:color w:val="000000" w:themeColor="text1"/>
          <w:lang w:val="en-US" w:eastAsia="es-MX"/>
        </w:rPr>
        <w:t>: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3109. </w:t>
      </w:r>
      <w:r w:rsidR="001D0C97" w:rsidRPr="00097DCC">
        <w:rPr>
          <w:rFonts w:ascii="Perpetua" w:hAnsi="Perpetua"/>
          <w:color w:val="000000" w:themeColor="text1"/>
          <w:lang w:val="en-US"/>
        </w:rPr>
        <w:t>https://doi.org/</w:t>
      </w:r>
      <w:r w:rsidR="00312A88" w:rsidRPr="00097DCC">
        <w:rPr>
          <w:rFonts w:ascii="Perpetua" w:hAnsi="Perpetua"/>
          <w:color w:val="000000" w:themeColor="text1"/>
          <w:lang w:val="en-US" w:eastAsia="es-MX"/>
        </w:rPr>
        <w:t xml:space="preserve">10.1002/jsfa.8812 </w:t>
      </w:r>
    </w:p>
    <w:p w14:paraId="08B4300E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b/>
          <w:lang w:val="en-US"/>
        </w:rPr>
      </w:pPr>
      <w:bookmarkStart w:id="5" w:name="OLE_LINK3"/>
      <w:bookmarkStart w:id="6" w:name="OLE_LINK4"/>
      <w:r w:rsidRPr="00097DCC">
        <w:rPr>
          <w:rFonts w:ascii="Perpetua" w:hAnsi="Perpetua"/>
          <w:b/>
          <w:noProof/>
          <w:lang w:val="en-US"/>
        </w:rPr>
        <w:lastRenderedPageBreak/>
        <w:drawing>
          <wp:inline distT="0" distB="0" distL="0" distR="0" wp14:anchorId="35B50900" wp14:editId="7D272009">
            <wp:extent cx="5612130" cy="2265680"/>
            <wp:effectExtent l="0" t="0" r="127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ihydroxybenzoic hexoside.tif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26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411F4" w14:textId="5A4DFF50" w:rsidR="00F75C35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b/>
          <w:lang w:val="en-US"/>
        </w:rPr>
        <w:t>Figure 1S.</w:t>
      </w:r>
      <w:r w:rsidRPr="00097DCC">
        <w:rPr>
          <w:rFonts w:ascii="Perpetua" w:hAnsi="Perpetua"/>
          <w:lang w:val="en-US"/>
        </w:rPr>
        <w:t xml:space="preserve"> High resolution MS</w:t>
      </w:r>
      <w:r w:rsidRPr="00097DCC">
        <w:rPr>
          <w:rFonts w:ascii="Perpetua" w:hAnsi="Perpetua"/>
          <w:vertAlign w:val="superscript"/>
          <w:lang w:val="en-US"/>
        </w:rPr>
        <w:t>E</w:t>
      </w:r>
      <w:r w:rsidRPr="00097DCC">
        <w:rPr>
          <w:rFonts w:ascii="Perpetua" w:hAnsi="Perpetua"/>
          <w:lang w:val="en-US"/>
        </w:rPr>
        <w:t xml:space="preserve"> spectra of protocatechuic acid hexoside.</w:t>
      </w:r>
    </w:p>
    <w:p w14:paraId="4E8ED3AA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noProof/>
          <w:lang w:val="en-US"/>
        </w:rPr>
        <w:drawing>
          <wp:inline distT="0" distB="0" distL="0" distR="0" wp14:anchorId="6104EDB5" wp14:editId="15201D16">
            <wp:extent cx="5612130" cy="2779395"/>
            <wp:effectExtent l="0" t="0" r="1270" b="190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ydroxybenzoic aci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DD8AC" w14:textId="1961C013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bookmarkStart w:id="7" w:name="OLE_LINK5"/>
      <w:bookmarkStart w:id="8" w:name="OLE_LINK6"/>
      <w:bookmarkEnd w:id="5"/>
      <w:bookmarkEnd w:id="6"/>
      <w:r w:rsidRPr="00097DCC">
        <w:rPr>
          <w:rFonts w:ascii="Perpetua" w:hAnsi="Perpetua"/>
          <w:b/>
          <w:lang w:val="en-US"/>
        </w:rPr>
        <w:t>Figure 2S.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hydroxybenzoic acid.</w:t>
      </w:r>
    </w:p>
    <w:p w14:paraId="3782D7C7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noProof/>
          <w:lang w:val="en-US"/>
        </w:rPr>
        <w:lastRenderedPageBreak/>
        <w:drawing>
          <wp:inline distT="0" distB="0" distL="0" distR="0" wp14:anchorId="0C0890CA" wp14:editId="3FA746E9">
            <wp:extent cx="5612130" cy="2779395"/>
            <wp:effectExtent l="0" t="0" r="1270" b="190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icaffeoylquinic acid.tif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C9D79" w14:textId="66CD7D40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bookmarkStart w:id="9" w:name="OLE_LINK7"/>
      <w:bookmarkStart w:id="10" w:name="OLE_LINK8"/>
      <w:bookmarkEnd w:id="7"/>
      <w:bookmarkEnd w:id="8"/>
      <w:r w:rsidRPr="00097DCC">
        <w:rPr>
          <w:rFonts w:ascii="Perpetua" w:hAnsi="Perpetua"/>
          <w:b/>
          <w:lang w:val="en-US"/>
        </w:rPr>
        <w:t>Figure 3S.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proofErr w:type="spellStart"/>
      <w:r w:rsidRPr="00097DCC">
        <w:rPr>
          <w:rFonts w:ascii="Perpetua" w:hAnsi="Perpetua"/>
          <w:lang w:val="en-US"/>
        </w:rPr>
        <w:t>dicaffeoylquinic</w:t>
      </w:r>
      <w:proofErr w:type="spellEnd"/>
      <w:r w:rsidRPr="00097DCC">
        <w:rPr>
          <w:rFonts w:ascii="Perpetua" w:hAnsi="Perpetua"/>
          <w:lang w:val="en-US"/>
        </w:rPr>
        <w:t xml:space="preserve"> acid.</w:t>
      </w:r>
    </w:p>
    <w:p w14:paraId="65906088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noProof/>
          <w:lang w:val="en-US"/>
        </w:rPr>
        <w:drawing>
          <wp:inline distT="0" distB="0" distL="0" distR="0" wp14:anchorId="0F5834F6" wp14:editId="45F46C73">
            <wp:extent cx="5612130" cy="2779395"/>
            <wp:effectExtent l="0" t="0" r="1270" b="190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osmarinic acid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2E542" w14:textId="5A88D0F1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bookmarkStart w:id="11" w:name="OLE_LINK9"/>
      <w:bookmarkStart w:id="12" w:name="OLE_LINK10"/>
      <w:bookmarkEnd w:id="9"/>
      <w:bookmarkEnd w:id="10"/>
      <w:r w:rsidRPr="00097DCC">
        <w:rPr>
          <w:rFonts w:ascii="Perpetua" w:hAnsi="Perpetua"/>
          <w:b/>
          <w:lang w:val="en-US"/>
        </w:rPr>
        <w:t>Figure 4S.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rosmarinic acid.</w:t>
      </w:r>
    </w:p>
    <w:p w14:paraId="0CC6AFB2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noProof/>
          <w:lang w:val="en-US"/>
        </w:rPr>
        <w:lastRenderedPageBreak/>
        <w:drawing>
          <wp:inline distT="0" distB="0" distL="0" distR="0" wp14:anchorId="4CF162A0" wp14:editId="63616EB6">
            <wp:extent cx="5612130" cy="1934845"/>
            <wp:effectExtent l="0" t="0" r="127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3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1"/>
    <w:bookmarkEnd w:id="12"/>
    <w:p w14:paraId="2CBB258F" w14:textId="6AE4759D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b/>
          <w:lang w:val="en-US"/>
        </w:rPr>
        <w:t>Figure 5S.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naringin.</w:t>
      </w:r>
    </w:p>
    <w:p w14:paraId="16A7B6B6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b/>
          <w:lang w:val="en-US"/>
        </w:rPr>
      </w:pPr>
      <w:bookmarkStart w:id="13" w:name="OLE_LINK11"/>
      <w:bookmarkStart w:id="14" w:name="OLE_LINK12"/>
      <w:r w:rsidRPr="00097DCC">
        <w:rPr>
          <w:rFonts w:ascii="Perpetua" w:hAnsi="Perpetua"/>
          <w:b/>
          <w:noProof/>
          <w:lang w:val="en-US"/>
        </w:rPr>
        <w:drawing>
          <wp:inline distT="0" distB="0" distL="0" distR="0" wp14:anchorId="2BE12D1C" wp14:editId="6DB618C8">
            <wp:extent cx="5612130" cy="2282190"/>
            <wp:effectExtent l="0" t="0" r="1270" b="381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Hesperidin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28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DCCAF" w14:textId="59977B43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b/>
          <w:lang w:val="en-US"/>
        </w:rPr>
        <w:t>Figure 6S.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hesperidin.</w:t>
      </w:r>
    </w:p>
    <w:p w14:paraId="50CFA42B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noProof/>
          <w:lang w:val="en-US"/>
        </w:rPr>
        <w:drawing>
          <wp:inline distT="0" distB="0" distL="0" distR="0" wp14:anchorId="3C8D7B74" wp14:editId="08B04790">
            <wp:extent cx="5612130" cy="2062480"/>
            <wp:effectExtent l="0" t="0" r="127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Quercetin hexoside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6842F" w14:textId="1D2BFA80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bookmarkStart w:id="15" w:name="OLE_LINK13"/>
      <w:bookmarkStart w:id="16" w:name="OLE_LINK14"/>
      <w:r w:rsidRPr="00097DCC">
        <w:rPr>
          <w:rFonts w:ascii="Perpetua" w:hAnsi="Perpetua"/>
          <w:b/>
          <w:lang w:val="en-US"/>
        </w:rPr>
        <w:t>Figure 7S.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quercetin hexoside.</w:t>
      </w:r>
    </w:p>
    <w:p w14:paraId="6B610C63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noProof/>
          <w:lang w:val="en-US"/>
        </w:rPr>
        <w:lastRenderedPageBreak/>
        <w:drawing>
          <wp:inline distT="0" distB="0" distL="0" distR="0" wp14:anchorId="3436837B" wp14:editId="2A5ECAB2">
            <wp:extent cx="5612130" cy="2779395"/>
            <wp:effectExtent l="0" t="0" r="1270" b="190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soralen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61B8D" w14:textId="2FC60E7C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bookmarkStart w:id="17" w:name="OLE_LINK15"/>
      <w:bookmarkStart w:id="18" w:name="OLE_LINK16"/>
      <w:r w:rsidRPr="00097DCC">
        <w:rPr>
          <w:rFonts w:ascii="Perpetua" w:hAnsi="Perpetua"/>
          <w:b/>
          <w:lang w:val="en-US"/>
        </w:rPr>
        <w:t>Figure 8S.</w:t>
      </w:r>
      <w:r w:rsidRPr="00097DCC">
        <w:rPr>
          <w:rFonts w:ascii="Perpetua" w:hAnsi="Perpetua"/>
          <w:lang w:val="en-US"/>
        </w:rPr>
        <w:t xml:space="preserve"> High resolution </w:t>
      </w:r>
      <w:bookmarkStart w:id="19" w:name="OLE_LINK1"/>
      <w:bookmarkStart w:id="20" w:name="OLE_LINK2"/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psoralen</w:t>
      </w:r>
      <w:bookmarkEnd w:id="19"/>
      <w:bookmarkEnd w:id="20"/>
      <w:r w:rsidRPr="00097DCC">
        <w:rPr>
          <w:rFonts w:ascii="Perpetua" w:hAnsi="Perpetua"/>
          <w:lang w:val="en-US"/>
        </w:rPr>
        <w:t>.</w:t>
      </w:r>
    </w:p>
    <w:bookmarkEnd w:id="17"/>
    <w:bookmarkEnd w:id="18"/>
    <w:p w14:paraId="7DA0DD32" w14:textId="77777777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b/>
          <w:lang w:val="en-US"/>
        </w:rPr>
      </w:pPr>
      <w:r w:rsidRPr="00097DCC">
        <w:rPr>
          <w:rFonts w:ascii="Perpetua" w:hAnsi="Perpetua"/>
          <w:b/>
          <w:noProof/>
          <w:lang w:val="en-US"/>
        </w:rPr>
        <w:drawing>
          <wp:inline distT="0" distB="0" distL="0" distR="0" wp14:anchorId="1192CD4F" wp14:editId="47DAFD7B">
            <wp:extent cx="5612130" cy="2779395"/>
            <wp:effectExtent l="0" t="0" r="1270" b="190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Hydroxycoumarin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90E0D" w14:textId="5CA7D392" w:rsidR="00361838" w:rsidRPr="00097DCC" w:rsidRDefault="00361838" w:rsidP="00097DCC">
      <w:pPr>
        <w:tabs>
          <w:tab w:val="left" w:pos="2115"/>
        </w:tabs>
        <w:spacing w:line="480" w:lineRule="auto"/>
        <w:jc w:val="both"/>
        <w:rPr>
          <w:rFonts w:ascii="Perpetua" w:hAnsi="Perpetua"/>
          <w:lang w:val="en-US"/>
        </w:rPr>
      </w:pPr>
      <w:r w:rsidRPr="00097DCC">
        <w:rPr>
          <w:rFonts w:ascii="Perpetua" w:hAnsi="Perpetua"/>
          <w:b/>
          <w:lang w:val="en-US"/>
        </w:rPr>
        <w:t>Figure 9S.</w:t>
      </w:r>
      <w:r w:rsidRPr="00097DCC">
        <w:rPr>
          <w:rFonts w:ascii="Perpetua" w:hAnsi="Perpetua"/>
          <w:lang w:val="en-US"/>
        </w:rPr>
        <w:t xml:space="preserve"> High resolution </w:t>
      </w:r>
      <w:r w:rsidR="0054356D" w:rsidRPr="00097DCC">
        <w:rPr>
          <w:rFonts w:ascii="Perpetua" w:hAnsi="Perpetua"/>
          <w:lang w:val="en-US"/>
        </w:rPr>
        <w:t>MS</w:t>
      </w:r>
      <w:r w:rsidR="0054356D" w:rsidRPr="00097DCC">
        <w:rPr>
          <w:rFonts w:ascii="Perpetua" w:hAnsi="Perpetua"/>
          <w:vertAlign w:val="superscript"/>
          <w:lang w:val="en-US"/>
        </w:rPr>
        <w:t>E</w:t>
      </w:r>
      <w:r w:rsidR="0054356D" w:rsidRPr="00097DCC">
        <w:rPr>
          <w:rFonts w:ascii="Perpetua" w:hAnsi="Perpetua"/>
          <w:lang w:val="en-US"/>
        </w:rPr>
        <w:t xml:space="preserve"> spectra of </w:t>
      </w:r>
      <w:r w:rsidRPr="00097DCC">
        <w:rPr>
          <w:rFonts w:ascii="Perpetua" w:hAnsi="Perpetua"/>
          <w:lang w:val="en-US"/>
        </w:rPr>
        <w:t>hydroxycoumarin.</w:t>
      </w:r>
      <w:bookmarkEnd w:id="13"/>
      <w:bookmarkEnd w:id="14"/>
      <w:bookmarkEnd w:id="15"/>
      <w:bookmarkEnd w:id="16"/>
    </w:p>
    <w:sectPr w:rsidR="00361838" w:rsidRPr="00097DCC" w:rsidSect="001976C2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632E5" w14:textId="77777777" w:rsidR="001976C2" w:rsidRDefault="001976C2" w:rsidP="00091921">
      <w:r>
        <w:separator/>
      </w:r>
    </w:p>
  </w:endnote>
  <w:endnote w:type="continuationSeparator" w:id="0">
    <w:p w14:paraId="08588540" w14:textId="77777777" w:rsidR="001976C2" w:rsidRDefault="001976C2" w:rsidP="00091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4D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835615024"/>
      <w:docPartObj>
        <w:docPartGallery w:val="Page Numbers (Bottom of Page)"/>
        <w:docPartUnique/>
      </w:docPartObj>
    </w:sdtPr>
    <w:sdtContent>
      <w:p w14:paraId="78FB629F" w14:textId="5E1B2BCF" w:rsidR="00091921" w:rsidRDefault="00091921" w:rsidP="00F54B9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54356D">
          <w:rPr>
            <w:rStyle w:val="Nmerodepgina"/>
            <w:noProof/>
          </w:rPr>
          <w:t>8</w:t>
        </w:r>
        <w:r>
          <w:rPr>
            <w:rStyle w:val="Nmerodepgina"/>
          </w:rPr>
          <w:fldChar w:fldCharType="end"/>
        </w:r>
      </w:p>
    </w:sdtContent>
  </w:sdt>
  <w:p w14:paraId="73F8FEF0" w14:textId="77777777" w:rsidR="00091921" w:rsidRDefault="00091921" w:rsidP="0009192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901364663"/>
      <w:docPartObj>
        <w:docPartGallery w:val="Page Numbers (Bottom of Page)"/>
        <w:docPartUnique/>
      </w:docPartObj>
    </w:sdtPr>
    <w:sdtContent>
      <w:p w14:paraId="207A9053" w14:textId="0F2E1440" w:rsidR="00091921" w:rsidRDefault="00091921" w:rsidP="00F54B9F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23CBC021" w14:textId="77777777" w:rsidR="00091921" w:rsidRDefault="00091921" w:rsidP="00091921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BB621" w14:textId="77777777" w:rsidR="001976C2" w:rsidRDefault="001976C2" w:rsidP="00091921">
      <w:r>
        <w:separator/>
      </w:r>
    </w:p>
  </w:footnote>
  <w:footnote w:type="continuationSeparator" w:id="0">
    <w:p w14:paraId="28B4E06B" w14:textId="77777777" w:rsidR="001976C2" w:rsidRDefault="001976C2" w:rsidP="00091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921"/>
    <w:rsid w:val="000046F5"/>
    <w:rsid w:val="00091921"/>
    <w:rsid w:val="00097DCC"/>
    <w:rsid w:val="001976C2"/>
    <w:rsid w:val="001C7935"/>
    <w:rsid w:val="001D0C97"/>
    <w:rsid w:val="00312A88"/>
    <w:rsid w:val="00361838"/>
    <w:rsid w:val="004B595D"/>
    <w:rsid w:val="0050598A"/>
    <w:rsid w:val="0054356D"/>
    <w:rsid w:val="006820A0"/>
    <w:rsid w:val="00B37504"/>
    <w:rsid w:val="00CB4039"/>
    <w:rsid w:val="00DC22D5"/>
    <w:rsid w:val="00E60D2B"/>
    <w:rsid w:val="00F7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742751"/>
  <w15:chartTrackingRefBased/>
  <w15:docId w15:val="{016B0A7F-0EAE-A148-8DAB-151CEE673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921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91921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091921"/>
    <w:rPr>
      <w:b/>
      <w:bCs/>
    </w:rPr>
  </w:style>
  <w:style w:type="character" w:styleId="Nmerodelnea">
    <w:name w:val="line number"/>
    <w:basedOn w:val="Fuentedeprrafopredeter"/>
    <w:uiPriority w:val="99"/>
    <w:semiHidden/>
    <w:unhideWhenUsed/>
    <w:rsid w:val="00091921"/>
  </w:style>
  <w:style w:type="paragraph" w:styleId="Encabezado">
    <w:name w:val="header"/>
    <w:basedOn w:val="Normal"/>
    <w:link w:val="EncabezadoCar"/>
    <w:uiPriority w:val="99"/>
    <w:unhideWhenUsed/>
    <w:rsid w:val="0009192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91921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09192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91921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styleId="Nmerodepgina">
    <w:name w:val="page number"/>
    <w:basedOn w:val="Fuentedeprrafopredeter"/>
    <w:uiPriority w:val="99"/>
    <w:semiHidden/>
    <w:unhideWhenUsed/>
    <w:rsid w:val="00091921"/>
  </w:style>
  <w:style w:type="paragraph" w:styleId="Prrafodelista">
    <w:name w:val="List Paragraph"/>
    <w:basedOn w:val="Normal"/>
    <w:uiPriority w:val="34"/>
    <w:qFormat/>
    <w:rsid w:val="000046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3.tiff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image" Target="media/image6.tif"/><Relationship Id="rId10" Type="http://schemas.openxmlformats.org/officeDocument/2006/relationships/image" Target="media/image1.tif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phenol-explorer.eu/" TargetMode="External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D575E30-70E6-1847-8474-863725069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10</Pages>
  <Words>1404</Words>
  <Characters>7723</Characters>
  <Application>Microsoft Office Word</Application>
  <DocSecurity>0</DocSecurity>
  <Lines>64</Lines>
  <Paragraphs>18</Paragraphs>
  <ScaleCrop>false</ScaleCrop>
  <Company/>
  <LinksUpToDate>false</LinksUpToDate>
  <CharactersWithSpaces>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FERNANDA PEREZ RAMIREZ</dc:creator>
  <cp:keywords/>
  <dc:description/>
  <cp:lastModifiedBy>IZA FERNANDA PEREZ RAMIREZ</cp:lastModifiedBy>
  <cp:revision>12</cp:revision>
  <dcterms:created xsi:type="dcterms:W3CDTF">2023-08-30T15:29:00Z</dcterms:created>
  <dcterms:modified xsi:type="dcterms:W3CDTF">2024-01-17T19:04:00Z</dcterms:modified>
</cp:coreProperties>
</file>