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A000C5" w14:textId="4A64DD0E" w:rsidR="004E3476" w:rsidRPr="009D5267" w:rsidRDefault="0063565B">
      <w:pPr>
        <w:rPr>
          <w:rFonts w:ascii="Arial" w:hAnsi="Arial" w:cs="Arial"/>
          <w:b/>
          <w:bCs/>
        </w:rPr>
      </w:pPr>
      <w:r w:rsidRPr="009D5267">
        <w:rPr>
          <w:rFonts w:ascii="Arial" w:hAnsi="Arial" w:cs="Arial"/>
          <w:b/>
          <w:bCs/>
        </w:rPr>
        <w:t>SUPPLEMENTAL DATA</w:t>
      </w:r>
    </w:p>
    <w:p w14:paraId="0567FC2B" w14:textId="77777777" w:rsidR="00B24BD2" w:rsidRDefault="00B24BD2" w:rsidP="00B24BD2">
      <w:pPr>
        <w:jc w:val="center"/>
        <w:rPr>
          <w:rFonts w:ascii="Arial" w:hAnsi="Arial" w:cs="Arial"/>
        </w:rPr>
      </w:pPr>
      <w:r w:rsidRPr="00B24BD2">
        <w:rPr>
          <w:rFonts w:ascii="Arial" w:hAnsi="Arial" w:cs="Arial"/>
          <w:noProof/>
        </w:rPr>
        <w:drawing>
          <wp:inline distT="0" distB="0" distL="0" distR="0" wp14:anchorId="0D5302B6" wp14:editId="7D69D0DA">
            <wp:extent cx="4980864" cy="1127858"/>
            <wp:effectExtent l="0" t="0" r="0" b="0"/>
            <wp:docPr id="61341332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3413322" name="Image 613413322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80864" cy="11278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89C2DA" w14:textId="255DF128" w:rsidR="00B24BD2" w:rsidRDefault="00B24BD2" w:rsidP="00B24BD2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Figure </w:t>
      </w:r>
      <w:r w:rsidR="006C1AD6">
        <w:rPr>
          <w:rFonts w:ascii="Arial" w:hAnsi="Arial" w:cs="Arial"/>
        </w:rPr>
        <w:t>2</w:t>
      </w:r>
      <w:r>
        <w:rPr>
          <w:rFonts w:ascii="Arial" w:hAnsi="Arial" w:cs="Arial"/>
        </w:rPr>
        <w:t>: Western-blot of GBA proteins in 10-days and 20-days CBE and controls</w:t>
      </w:r>
    </w:p>
    <w:p w14:paraId="068FE492" w14:textId="77777777" w:rsidR="00B24BD2" w:rsidRDefault="00B24BD2" w:rsidP="00B24BD2">
      <w:pPr>
        <w:jc w:val="center"/>
        <w:rPr>
          <w:rFonts w:ascii="Arial" w:hAnsi="Arial" w:cs="Arial"/>
        </w:rPr>
      </w:pPr>
    </w:p>
    <w:p w14:paraId="04CB911C" w14:textId="010EDD5E" w:rsidR="00B24BD2" w:rsidRPr="00B24BD2" w:rsidRDefault="00690C92" w:rsidP="00B24BD2">
      <w:pPr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324F17F2" wp14:editId="5E091345">
            <wp:extent cx="4816257" cy="3066554"/>
            <wp:effectExtent l="0" t="0" r="3810" b="635"/>
            <wp:docPr id="747883257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7883257" name="Image 747883257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16257" cy="30665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05E682" w14:textId="3C2BD0C6" w:rsidR="00B24BD2" w:rsidRPr="00B24BD2" w:rsidRDefault="00B24BD2" w:rsidP="00B24BD2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Figure </w:t>
      </w:r>
      <w:r w:rsidR="006C1AD6">
        <w:rPr>
          <w:rFonts w:ascii="Arial" w:hAnsi="Arial" w:cs="Arial"/>
        </w:rPr>
        <w:t>3</w:t>
      </w:r>
      <w:r>
        <w:rPr>
          <w:rFonts w:ascii="Arial" w:hAnsi="Arial" w:cs="Arial"/>
        </w:rPr>
        <w:t xml:space="preserve">: Western-blots of p62, LC3 and FTH1 proteins in 10-days and 20-days CBE and controls. </w:t>
      </w:r>
      <w:r w:rsidRPr="00B24BD2">
        <w:rPr>
          <w:rFonts w:ascii="Arial" w:hAnsi="Arial" w:cs="Arial"/>
        </w:rPr>
        <w:t>Gray boxes</w:t>
      </w:r>
      <w:r>
        <w:rPr>
          <w:rFonts w:ascii="Arial" w:hAnsi="Arial" w:cs="Arial"/>
        </w:rPr>
        <w:t xml:space="preserve"> hide bands that are not used in this article because these are other conditions not investigated in this study.</w:t>
      </w:r>
    </w:p>
    <w:p w14:paraId="7AA68F69" w14:textId="77777777" w:rsidR="00B24BD2" w:rsidRDefault="00B24BD2" w:rsidP="00B24BD2">
      <w:pPr>
        <w:jc w:val="center"/>
        <w:rPr>
          <w:rFonts w:ascii="Arial" w:hAnsi="Arial" w:cs="Arial"/>
        </w:rPr>
      </w:pPr>
      <w:r w:rsidRPr="00B24BD2">
        <w:rPr>
          <w:rFonts w:ascii="Arial" w:hAnsi="Arial" w:cs="Arial"/>
          <w:noProof/>
        </w:rPr>
        <w:drawing>
          <wp:inline distT="0" distB="0" distL="0" distR="0" wp14:anchorId="1AC2B615" wp14:editId="0A549763">
            <wp:extent cx="4560203" cy="2213040"/>
            <wp:effectExtent l="0" t="0" r="0" b="0"/>
            <wp:docPr id="1148119054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8119054" name="Image 1148119054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60203" cy="2213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757023" w14:textId="0E00D2E2" w:rsidR="00B24BD2" w:rsidRDefault="00B24BD2" w:rsidP="00B24BD2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Figure </w:t>
      </w:r>
      <w:r w:rsidR="006C1AD6">
        <w:rPr>
          <w:rFonts w:ascii="Arial" w:hAnsi="Arial" w:cs="Arial"/>
        </w:rPr>
        <w:t>4</w:t>
      </w:r>
      <w:r>
        <w:rPr>
          <w:rFonts w:ascii="Arial" w:hAnsi="Arial" w:cs="Arial"/>
        </w:rPr>
        <w:t>: Western-blot of TfR1 proteins in 10-days and 20-days CBE and controls.</w:t>
      </w:r>
    </w:p>
    <w:p w14:paraId="0231B203" w14:textId="77777777" w:rsidR="00B24BD2" w:rsidRDefault="00B24BD2" w:rsidP="00B24BD2">
      <w:pPr>
        <w:jc w:val="center"/>
        <w:rPr>
          <w:rFonts w:ascii="Arial" w:hAnsi="Arial" w:cs="Arial"/>
        </w:rPr>
      </w:pPr>
      <w:r w:rsidRPr="00B24BD2">
        <w:rPr>
          <w:rFonts w:ascii="Arial" w:hAnsi="Arial" w:cs="Arial"/>
          <w:noProof/>
        </w:rPr>
        <w:lastRenderedPageBreak/>
        <w:drawing>
          <wp:inline distT="0" distB="0" distL="0" distR="0" wp14:anchorId="470D333C" wp14:editId="6A406410">
            <wp:extent cx="4980864" cy="3261643"/>
            <wp:effectExtent l="0" t="0" r="0" b="0"/>
            <wp:docPr id="1596785558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6785558" name="Image 1596785558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80864" cy="32616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270C4B" w14:textId="2CEF06AE" w:rsidR="00B24BD2" w:rsidRDefault="00B24BD2" w:rsidP="00B24BD2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Figure </w:t>
      </w:r>
      <w:r w:rsidR="006C1AD6">
        <w:rPr>
          <w:rFonts w:ascii="Arial" w:hAnsi="Arial" w:cs="Arial"/>
        </w:rPr>
        <w:t>5</w:t>
      </w:r>
      <w:r>
        <w:rPr>
          <w:rFonts w:ascii="Arial" w:hAnsi="Arial" w:cs="Arial"/>
        </w:rPr>
        <w:t>: Western-blots of HMOX1, ACSL4, GPX4 proteins in 10-days and 20-days CBE and controls.</w:t>
      </w:r>
    </w:p>
    <w:p w14:paraId="1B778B48" w14:textId="77777777" w:rsidR="00B24BD2" w:rsidRDefault="00B24BD2" w:rsidP="00B24BD2">
      <w:pPr>
        <w:rPr>
          <w:rFonts w:ascii="Arial" w:hAnsi="Arial" w:cs="Arial"/>
        </w:rPr>
      </w:pPr>
    </w:p>
    <w:p w14:paraId="317C662D" w14:textId="77777777" w:rsidR="00B24BD2" w:rsidRDefault="00B24BD2" w:rsidP="00B24BD2">
      <w:pPr>
        <w:jc w:val="center"/>
        <w:rPr>
          <w:rFonts w:ascii="Arial" w:hAnsi="Arial" w:cs="Arial"/>
        </w:rPr>
      </w:pPr>
      <w:r w:rsidRPr="00B24BD2">
        <w:rPr>
          <w:rFonts w:ascii="Arial" w:hAnsi="Arial" w:cs="Arial"/>
          <w:noProof/>
        </w:rPr>
        <w:drawing>
          <wp:inline distT="0" distB="0" distL="0" distR="0" wp14:anchorId="6639CC97" wp14:editId="434BB55F">
            <wp:extent cx="2950720" cy="3932261"/>
            <wp:effectExtent l="0" t="0" r="0" b="0"/>
            <wp:docPr id="677086848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7086848" name="Image 677086848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50720" cy="39322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904D91" w14:textId="5BA59B7B" w:rsidR="00B24BD2" w:rsidRDefault="00B24BD2" w:rsidP="00B24BD2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Figure </w:t>
      </w:r>
      <w:r w:rsidR="006C1AD6">
        <w:rPr>
          <w:rFonts w:ascii="Arial" w:hAnsi="Arial" w:cs="Arial"/>
        </w:rPr>
        <w:t>6</w:t>
      </w:r>
      <w:r>
        <w:rPr>
          <w:rFonts w:ascii="Arial" w:hAnsi="Arial" w:cs="Arial"/>
        </w:rPr>
        <w:t>: Western-blots of p62, LC3 and GPX4 proteins in cells exposed to inhibitors of autophagic flux.</w:t>
      </w:r>
    </w:p>
    <w:p w14:paraId="22F6510E" w14:textId="77777777" w:rsidR="00B24BD2" w:rsidRDefault="00B24BD2" w:rsidP="00B24BD2">
      <w:pPr>
        <w:rPr>
          <w:rFonts w:ascii="Arial" w:hAnsi="Arial" w:cs="Arial"/>
        </w:rPr>
      </w:pPr>
    </w:p>
    <w:p w14:paraId="29531CD9" w14:textId="09E1AB7C" w:rsidR="0063565B" w:rsidRDefault="00B24BD2" w:rsidP="00B24BD2">
      <w:pPr>
        <w:jc w:val="center"/>
        <w:rPr>
          <w:rFonts w:ascii="Arial" w:hAnsi="Arial" w:cs="Arial"/>
        </w:rPr>
      </w:pPr>
      <w:r w:rsidRPr="00B24BD2">
        <w:rPr>
          <w:rFonts w:ascii="Arial" w:hAnsi="Arial" w:cs="Arial"/>
          <w:noProof/>
        </w:rPr>
        <w:lastRenderedPageBreak/>
        <w:drawing>
          <wp:inline distT="0" distB="0" distL="0" distR="0" wp14:anchorId="38993145" wp14:editId="4A79C525">
            <wp:extent cx="5749026" cy="3432345"/>
            <wp:effectExtent l="0" t="0" r="0" b="0"/>
            <wp:docPr id="1733631915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3631915" name="Image 1733631915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49026" cy="3432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B4E7B3" w14:textId="7955CDD2" w:rsidR="00B24BD2" w:rsidRDefault="00B24BD2" w:rsidP="00B24BD2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Figure </w:t>
      </w:r>
      <w:r w:rsidR="006C1AD6">
        <w:rPr>
          <w:rFonts w:ascii="Arial" w:hAnsi="Arial" w:cs="Arial"/>
        </w:rPr>
        <w:t>7</w:t>
      </w:r>
      <w:r>
        <w:rPr>
          <w:rFonts w:ascii="Arial" w:hAnsi="Arial" w:cs="Arial"/>
        </w:rPr>
        <w:t xml:space="preserve">: Western-blots of GPX4 proteins in cells transfected with siGPX4. </w:t>
      </w:r>
      <w:r w:rsidRPr="00B24BD2">
        <w:rPr>
          <w:rFonts w:ascii="Arial" w:hAnsi="Arial" w:cs="Arial"/>
        </w:rPr>
        <w:t>Gray boxes</w:t>
      </w:r>
      <w:r>
        <w:rPr>
          <w:rFonts w:ascii="Arial" w:hAnsi="Arial" w:cs="Arial"/>
        </w:rPr>
        <w:t xml:space="preserve"> hide bands that are not used in this article because these are other conditions not investigated in this study.</w:t>
      </w:r>
    </w:p>
    <w:sectPr w:rsidR="00B24BD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0D3852" w14:textId="77777777" w:rsidR="009D5267" w:rsidRDefault="009D5267" w:rsidP="009D5267">
      <w:pPr>
        <w:spacing w:after="0" w:line="240" w:lineRule="auto"/>
      </w:pPr>
      <w:r>
        <w:separator/>
      </w:r>
    </w:p>
  </w:endnote>
  <w:endnote w:type="continuationSeparator" w:id="0">
    <w:p w14:paraId="42F534EF" w14:textId="77777777" w:rsidR="009D5267" w:rsidRDefault="009D5267" w:rsidP="009D52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D25D7E" w14:textId="77777777" w:rsidR="009D5267" w:rsidRDefault="009D5267" w:rsidP="009D5267">
      <w:pPr>
        <w:spacing w:after="0" w:line="240" w:lineRule="auto"/>
      </w:pPr>
      <w:r>
        <w:separator/>
      </w:r>
    </w:p>
  </w:footnote>
  <w:footnote w:type="continuationSeparator" w:id="0">
    <w:p w14:paraId="152CE2D1" w14:textId="77777777" w:rsidR="009D5267" w:rsidRDefault="009D5267" w:rsidP="009D526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7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565B"/>
    <w:rsid w:val="000527AF"/>
    <w:rsid w:val="000F0822"/>
    <w:rsid w:val="00135528"/>
    <w:rsid w:val="001A3BDA"/>
    <w:rsid w:val="001A7AB9"/>
    <w:rsid w:val="001C727D"/>
    <w:rsid w:val="00213412"/>
    <w:rsid w:val="00286E45"/>
    <w:rsid w:val="002B1B08"/>
    <w:rsid w:val="002C3E92"/>
    <w:rsid w:val="002C64C7"/>
    <w:rsid w:val="0040114B"/>
    <w:rsid w:val="00422438"/>
    <w:rsid w:val="00422E80"/>
    <w:rsid w:val="00462F6E"/>
    <w:rsid w:val="00464989"/>
    <w:rsid w:val="004E3476"/>
    <w:rsid w:val="004F2F66"/>
    <w:rsid w:val="0053098D"/>
    <w:rsid w:val="0055236C"/>
    <w:rsid w:val="00557575"/>
    <w:rsid w:val="0056559F"/>
    <w:rsid w:val="00597AD9"/>
    <w:rsid w:val="005D01C3"/>
    <w:rsid w:val="005E1EF8"/>
    <w:rsid w:val="00604F08"/>
    <w:rsid w:val="0061747F"/>
    <w:rsid w:val="0063565B"/>
    <w:rsid w:val="0065344C"/>
    <w:rsid w:val="00690C92"/>
    <w:rsid w:val="006A5A04"/>
    <w:rsid w:val="006C1AD6"/>
    <w:rsid w:val="006E50F4"/>
    <w:rsid w:val="006E67C9"/>
    <w:rsid w:val="00702B08"/>
    <w:rsid w:val="007207A4"/>
    <w:rsid w:val="00726E75"/>
    <w:rsid w:val="007445C2"/>
    <w:rsid w:val="00803DFB"/>
    <w:rsid w:val="008F5501"/>
    <w:rsid w:val="00917168"/>
    <w:rsid w:val="009852EB"/>
    <w:rsid w:val="009B4957"/>
    <w:rsid w:val="009D5267"/>
    <w:rsid w:val="009E097A"/>
    <w:rsid w:val="009E3C61"/>
    <w:rsid w:val="009E4DAE"/>
    <w:rsid w:val="00A32462"/>
    <w:rsid w:val="00A35154"/>
    <w:rsid w:val="00A812F1"/>
    <w:rsid w:val="00AA0BEA"/>
    <w:rsid w:val="00AA2CB4"/>
    <w:rsid w:val="00B24BD2"/>
    <w:rsid w:val="00B2580D"/>
    <w:rsid w:val="00BA3C31"/>
    <w:rsid w:val="00BE277B"/>
    <w:rsid w:val="00C13976"/>
    <w:rsid w:val="00C2253B"/>
    <w:rsid w:val="00C247A0"/>
    <w:rsid w:val="00C52AB7"/>
    <w:rsid w:val="00C96B66"/>
    <w:rsid w:val="00CA567B"/>
    <w:rsid w:val="00CC0A77"/>
    <w:rsid w:val="00D00562"/>
    <w:rsid w:val="00D33603"/>
    <w:rsid w:val="00D33663"/>
    <w:rsid w:val="00E2337F"/>
    <w:rsid w:val="00E24DCC"/>
    <w:rsid w:val="00E42BC1"/>
    <w:rsid w:val="00E530C3"/>
    <w:rsid w:val="00E6582D"/>
    <w:rsid w:val="00E819E9"/>
    <w:rsid w:val="00E86C88"/>
    <w:rsid w:val="00EA3E1E"/>
    <w:rsid w:val="00F135F2"/>
    <w:rsid w:val="00F36993"/>
    <w:rsid w:val="00F52F66"/>
    <w:rsid w:val="00FA6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0E7B50"/>
  <w15:docId w15:val="{F062DC69-7A85-47AD-925E-2204C144AB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9D52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9D5267"/>
    <w:rPr>
      <w:lang w:val="en-GB"/>
    </w:rPr>
  </w:style>
  <w:style w:type="paragraph" w:styleId="Pieddepage">
    <w:name w:val="footer"/>
    <w:basedOn w:val="Normal"/>
    <w:link w:val="PieddepageCar"/>
    <w:uiPriority w:val="99"/>
    <w:unhideWhenUsed/>
    <w:rsid w:val="009D52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D5267"/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124</Words>
  <Characters>686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Marie-Amandine Bonte</dc:creator>
  <cp:keywords/>
  <dc:description/>
  <cp:lastModifiedBy>Marie-Amandine Bonte</cp:lastModifiedBy>
  <cp:revision>2</cp:revision>
  <dcterms:created xsi:type="dcterms:W3CDTF">2023-12-27T13:39:00Z</dcterms:created>
  <dcterms:modified xsi:type="dcterms:W3CDTF">2023-12-27T13:39:00Z</dcterms:modified>
</cp:coreProperties>
</file>