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C78C" w14:textId="77777777" w:rsidR="002F414F" w:rsidRDefault="002F414F"/>
    <w:p w14:paraId="0DADA3D5" w14:textId="115879FA" w:rsidR="00270BC3" w:rsidRPr="00270BC3" w:rsidRDefault="00270BC3" w:rsidP="00270BC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Definitions of</w:t>
      </w:r>
      <w:r w:rsidRPr="00271E71">
        <w:rPr>
          <w:rFonts w:ascii="Arial" w:hAnsi="Arial" w:cs="Arial"/>
          <w:sz w:val="24"/>
          <w:szCs w:val="24"/>
        </w:rPr>
        <w:t xml:space="preserve"> </w:t>
      </w:r>
      <w:r w:rsidR="00B06711">
        <w:rPr>
          <w:rFonts w:ascii="Arial" w:hAnsi="Arial" w:cs="Arial"/>
          <w:sz w:val="24"/>
          <w:szCs w:val="24"/>
        </w:rPr>
        <w:t xml:space="preserve">general practice (GP) </w:t>
      </w:r>
      <w:r>
        <w:rPr>
          <w:rFonts w:ascii="Arial" w:hAnsi="Arial" w:cs="Arial"/>
          <w:sz w:val="24"/>
          <w:szCs w:val="24"/>
        </w:rPr>
        <w:t>p</w:t>
      </w:r>
      <w:r w:rsidRPr="00271E71">
        <w:rPr>
          <w:rFonts w:ascii="Arial" w:hAnsi="Arial" w:cs="Arial"/>
          <w:sz w:val="24"/>
          <w:szCs w:val="24"/>
        </w:rPr>
        <w:t>erformance indicators used in this study</w:t>
      </w:r>
    </w:p>
    <w:tbl>
      <w:tblPr>
        <w:tblW w:w="5003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5725"/>
        <w:gridCol w:w="7155"/>
      </w:tblGrid>
      <w:tr w:rsidR="00270BC3" w:rsidRPr="00270BC3" w14:paraId="362DE851" w14:textId="77777777" w:rsidTr="00FB18C6">
        <w:trPr>
          <w:trHeight w:val="290"/>
          <w:jc w:val="right"/>
        </w:trPr>
        <w:tc>
          <w:tcPr>
            <w:tcW w:w="820" w:type="pct"/>
            <w:tcBorders>
              <w:bottom w:val="single" w:sz="8" w:space="0" w:color="auto"/>
            </w:tcBorders>
            <w:shd w:val="clear" w:color="auto" w:fill="auto"/>
            <w:noWrap/>
          </w:tcPr>
          <w:p w14:paraId="2E7F8D8F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Indicator</w:t>
            </w:r>
          </w:p>
        </w:tc>
        <w:tc>
          <w:tcPr>
            <w:tcW w:w="1858" w:type="pct"/>
            <w:tcBorders>
              <w:bottom w:val="single" w:sz="8" w:space="0" w:color="auto"/>
            </w:tcBorders>
            <w:shd w:val="clear" w:color="auto" w:fill="auto"/>
            <w:noWrap/>
          </w:tcPr>
          <w:p w14:paraId="6E668043" w14:textId="77777777" w:rsidR="00270BC3" w:rsidRPr="00270BC3" w:rsidRDefault="00270BC3" w:rsidP="00270BC3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Question [Question No.] or Indicator Code</w:t>
            </w:r>
          </w:p>
        </w:tc>
        <w:tc>
          <w:tcPr>
            <w:tcW w:w="2322" w:type="pct"/>
            <w:tcBorders>
              <w:bottom w:val="single" w:sz="8" w:space="0" w:color="auto"/>
            </w:tcBorders>
            <w:shd w:val="clear" w:color="auto" w:fill="auto"/>
            <w:noWrap/>
          </w:tcPr>
          <w:p w14:paraId="6D5377F5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Indicator description</w:t>
            </w:r>
          </w:p>
        </w:tc>
      </w:tr>
      <w:tr w:rsidR="00270BC3" w:rsidRPr="00270BC3" w14:paraId="22E86DC3" w14:textId="77777777" w:rsidTr="00FB18C6">
        <w:trPr>
          <w:trHeight w:val="290"/>
          <w:jc w:val="right"/>
        </w:trPr>
        <w:tc>
          <w:tcPr>
            <w:tcW w:w="820" w:type="pct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A363E13" w14:textId="77777777" w:rsidR="00270BC3" w:rsidRPr="00270BC3" w:rsidRDefault="00270BC3" w:rsidP="00270BC3">
            <w:pPr>
              <w:spacing w:after="0" w:line="36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en-GB"/>
                <w14:ligatures w14:val="none"/>
              </w:rPr>
              <w:t>Patient reported indicators</w:t>
            </w:r>
          </w:p>
        </w:tc>
        <w:tc>
          <w:tcPr>
            <w:tcW w:w="4180" w:type="pct"/>
            <w:gridSpan w:val="2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2DF81FCB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0BC3" w:rsidRPr="00270BC3" w14:paraId="57F2FD0F" w14:textId="77777777" w:rsidTr="00FB18C6">
        <w:trPr>
          <w:trHeight w:val="310"/>
          <w:jc w:val="right"/>
        </w:trPr>
        <w:tc>
          <w:tcPr>
            <w:tcW w:w="820" w:type="pct"/>
            <w:shd w:val="clear" w:color="auto" w:fill="auto"/>
            <w:noWrap/>
            <w:hideMark/>
          </w:tcPr>
          <w:p w14:paraId="49C7A276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Access</w:t>
            </w:r>
          </w:p>
        </w:tc>
        <w:tc>
          <w:tcPr>
            <w:tcW w:w="1858" w:type="pct"/>
            <w:shd w:val="clear" w:color="auto" w:fill="auto"/>
            <w:noWrap/>
            <w:hideMark/>
          </w:tcPr>
          <w:p w14:paraId="0AB073CB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Generally, how easy is it to get through to someone at your GP practice on the phone? [Q1]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2E56EDF1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% of patients who find it easy to get through to someone at the GP practice on the phone (Q1)</w:t>
            </w:r>
          </w:p>
        </w:tc>
      </w:tr>
      <w:tr w:rsidR="00270BC3" w:rsidRPr="00270BC3" w14:paraId="29C3DF24" w14:textId="77777777" w:rsidTr="00FB18C6">
        <w:trPr>
          <w:trHeight w:val="310"/>
          <w:jc w:val="right"/>
        </w:trPr>
        <w:tc>
          <w:tcPr>
            <w:tcW w:w="820" w:type="pct"/>
            <w:shd w:val="clear" w:color="auto" w:fill="auto"/>
            <w:noWrap/>
            <w:hideMark/>
          </w:tcPr>
          <w:p w14:paraId="1FE2FF5E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Continuity of care</w:t>
            </w:r>
          </w:p>
        </w:tc>
        <w:tc>
          <w:tcPr>
            <w:tcW w:w="1858" w:type="pct"/>
            <w:shd w:val="clear" w:color="auto" w:fill="auto"/>
            <w:noWrap/>
            <w:hideMark/>
          </w:tcPr>
          <w:p w14:paraId="626B8799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How often do you see or speak to your preferred GP when you would like to? [Q8]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523DD93D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% of patients who see or speak to their preferred GP always, almost always or a lot of the time (Q8)</w:t>
            </w:r>
          </w:p>
        </w:tc>
      </w:tr>
      <w:tr w:rsidR="00270BC3" w:rsidRPr="00270BC3" w14:paraId="14E0DB7A" w14:textId="77777777" w:rsidTr="00FB18C6">
        <w:trPr>
          <w:trHeight w:val="300"/>
          <w:jc w:val="right"/>
        </w:trPr>
        <w:tc>
          <w:tcPr>
            <w:tcW w:w="820" w:type="pct"/>
            <w:shd w:val="clear" w:color="auto" w:fill="auto"/>
            <w:noWrap/>
            <w:hideMark/>
          </w:tcPr>
          <w:p w14:paraId="5A5423B8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Confidence and trust</w:t>
            </w:r>
          </w:p>
        </w:tc>
        <w:tc>
          <w:tcPr>
            <w:tcW w:w="1858" w:type="pct"/>
            <w:shd w:val="clear" w:color="auto" w:fill="auto"/>
            <w:noWrap/>
            <w:hideMark/>
          </w:tcPr>
          <w:p w14:paraId="68EB3A29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During your last general practice appointment, did you have confidence and trust in the healthcare professional you saw or spoke to? [Q30]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23231B73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% of patients who have confidence and trust in the health care professional they see (Q30)</w:t>
            </w:r>
          </w:p>
        </w:tc>
      </w:tr>
      <w:tr w:rsidR="00270BC3" w:rsidRPr="00270BC3" w14:paraId="3203E2AC" w14:textId="77777777" w:rsidTr="00FB18C6">
        <w:trPr>
          <w:trHeight w:val="310"/>
          <w:jc w:val="right"/>
        </w:trPr>
        <w:tc>
          <w:tcPr>
            <w:tcW w:w="820" w:type="pct"/>
            <w:vMerge w:val="restart"/>
            <w:shd w:val="clear" w:color="auto" w:fill="auto"/>
            <w:noWrap/>
            <w:hideMark/>
          </w:tcPr>
          <w:p w14:paraId="1150A2DA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Patient experience</w:t>
            </w:r>
          </w:p>
        </w:tc>
        <w:tc>
          <w:tcPr>
            <w:tcW w:w="1858" w:type="pct"/>
            <w:shd w:val="clear" w:color="auto" w:fill="auto"/>
            <w:noWrap/>
            <w:hideMark/>
          </w:tcPr>
          <w:p w14:paraId="5D843C44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Overall, how would you describe your experience of making an appointment? [Q21]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3508E9F3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% of patients who have good experience of making an appointment (Q21)</w:t>
            </w:r>
          </w:p>
        </w:tc>
      </w:tr>
      <w:tr w:rsidR="00270BC3" w:rsidRPr="00270BC3" w14:paraId="5108589B" w14:textId="77777777" w:rsidTr="00FB18C6">
        <w:trPr>
          <w:trHeight w:val="310"/>
          <w:jc w:val="right"/>
        </w:trPr>
        <w:tc>
          <w:tcPr>
            <w:tcW w:w="820" w:type="pct"/>
            <w:vMerge/>
            <w:shd w:val="clear" w:color="auto" w:fill="auto"/>
            <w:noWrap/>
            <w:hideMark/>
          </w:tcPr>
          <w:p w14:paraId="5A1BC0B1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58" w:type="pct"/>
            <w:shd w:val="clear" w:color="auto" w:fill="auto"/>
            <w:noWrap/>
            <w:hideMark/>
          </w:tcPr>
          <w:p w14:paraId="75BC28D4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Overall, how would you describe your experience of your GP practice? [Q32]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4E7747BF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% of patients who have a good overall GP practice experience (Q32)</w:t>
            </w:r>
          </w:p>
        </w:tc>
      </w:tr>
      <w:tr w:rsidR="00270BC3" w:rsidRPr="00270BC3" w14:paraId="3AAC2C6B" w14:textId="77777777" w:rsidTr="00FB18C6">
        <w:trPr>
          <w:trHeight w:val="310"/>
          <w:jc w:val="right"/>
        </w:trPr>
        <w:tc>
          <w:tcPr>
            <w:tcW w:w="820" w:type="pct"/>
            <w:vMerge w:val="restart"/>
            <w:shd w:val="clear" w:color="auto" w:fill="auto"/>
            <w:noWrap/>
            <w:hideMark/>
          </w:tcPr>
          <w:p w14:paraId="483C1391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Satisfaction</w:t>
            </w:r>
          </w:p>
        </w:tc>
        <w:tc>
          <w:tcPr>
            <w:tcW w:w="1858" w:type="pct"/>
            <w:shd w:val="clear" w:color="auto" w:fill="auto"/>
            <w:noWrap/>
            <w:hideMark/>
          </w:tcPr>
          <w:p w14:paraId="43C772AC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How satisfied are you with the general practice appointment times that are available to you? [Q6]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558717E2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% of patients who are satisfied with general practice appointment times available to them (Q6)</w:t>
            </w:r>
          </w:p>
        </w:tc>
      </w:tr>
      <w:tr w:rsidR="00270BC3" w:rsidRPr="00270BC3" w14:paraId="7EAFA5C7" w14:textId="77777777" w:rsidTr="00FB18C6">
        <w:trPr>
          <w:trHeight w:val="310"/>
          <w:jc w:val="right"/>
        </w:trPr>
        <w:tc>
          <w:tcPr>
            <w:tcW w:w="820" w:type="pct"/>
            <w:vMerge/>
            <w:shd w:val="clear" w:color="auto" w:fill="auto"/>
            <w:noWrap/>
            <w:hideMark/>
          </w:tcPr>
          <w:p w14:paraId="7A30CD40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58" w:type="pct"/>
            <w:shd w:val="clear" w:color="auto" w:fill="auto"/>
            <w:noWrap/>
            <w:hideMark/>
          </w:tcPr>
          <w:p w14:paraId="3D3EFBEC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Were you satisfied with the type of appointment (or appointments) you were offered? [Q16]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34536753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% of patients who were satisfied with the type of appointment(s) they were offered (Q16)</w:t>
            </w:r>
          </w:p>
        </w:tc>
      </w:tr>
      <w:tr w:rsidR="00270BC3" w:rsidRPr="00270BC3" w14:paraId="0CDB7B46" w14:textId="77777777" w:rsidTr="00FB18C6">
        <w:trPr>
          <w:trHeight w:val="290"/>
          <w:jc w:val="right"/>
        </w:trPr>
        <w:tc>
          <w:tcPr>
            <w:tcW w:w="820" w:type="pct"/>
            <w:shd w:val="clear" w:color="auto" w:fill="auto"/>
            <w:noWrap/>
            <w:hideMark/>
          </w:tcPr>
          <w:p w14:paraId="3377C033" w14:textId="77777777" w:rsidR="00270BC3" w:rsidRPr="00270BC3" w:rsidRDefault="00270BC3" w:rsidP="00270BC3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en-GB"/>
                <w14:ligatures w14:val="none"/>
              </w:rPr>
              <w:t>QOF indicators (Clinical and Public Health)</w:t>
            </w:r>
          </w:p>
        </w:tc>
        <w:tc>
          <w:tcPr>
            <w:tcW w:w="4180" w:type="pct"/>
            <w:gridSpan w:val="2"/>
            <w:shd w:val="clear" w:color="auto" w:fill="auto"/>
          </w:tcPr>
          <w:p w14:paraId="14153694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0BC3" w:rsidRPr="00270BC3" w14:paraId="672C8BC2" w14:textId="77777777" w:rsidTr="00FB18C6">
        <w:trPr>
          <w:trHeight w:val="310"/>
          <w:jc w:val="right"/>
        </w:trPr>
        <w:tc>
          <w:tcPr>
            <w:tcW w:w="820" w:type="pct"/>
            <w:vMerge w:val="restart"/>
            <w:shd w:val="clear" w:color="auto" w:fill="auto"/>
            <w:noWrap/>
            <w:hideMark/>
          </w:tcPr>
          <w:p w14:paraId="5B14E60C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Blood pressure control</w:t>
            </w:r>
          </w:p>
        </w:tc>
        <w:tc>
          <w:tcPr>
            <w:tcW w:w="1858" w:type="pct"/>
            <w:vMerge w:val="restart"/>
            <w:shd w:val="clear" w:color="auto" w:fill="auto"/>
            <w:noWrap/>
            <w:hideMark/>
          </w:tcPr>
          <w:p w14:paraId="4BCA4E59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Merger (HYP003 &amp; HYP007)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2B2C8D11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HYP003 _ The percentage of patients aged 79 years or under with hypertension in whom the last blood pressure reading (measured in the preceding 12 months) is 140/90 mmHg or less</w:t>
            </w:r>
          </w:p>
        </w:tc>
      </w:tr>
      <w:tr w:rsidR="00270BC3" w:rsidRPr="00270BC3" w14:paraId="6AC48721" w14:textId="77777777" w:rsidTr="00FB18C6">
        <w:trPr>
          <w:trHeight w:val="310"/>
          <w:jc w:val="right"/>
        </w:trPr>
        <w:tc>
          <w:tcPr>
            <w:tcW w:w="820" w:type="pct"/>
            <w:vMerge/>
            <w:shd w:val="clear" w:color="auto" w:fill="auto"/>
            <w:noWrap/>
            <w:hideMark/>
          </w:tcPr>
          <w:p w14:paraId="32FA6F5D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58" w:type="pct"/>
            <w:vMerge/>
            <w:shd w:val="clear" w:color="auto" w:fill="auto"/>
            <w:noWrap/>
            <w:hideMark/>
          </w:tcPr>
          <w:p w14:paraId="4C8F0D1D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22" w:type="pct"/>
            <w:shd w:val="clear" w:color="auto" w:fill="auto"/>
            <w:noWrap/>
            <w:hideMark/>
          </w:tcPr>
          <w:p w14:paraId="26F6F292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HYP007 _ The percentage of patients aged 80 years or over with hypertension in whom the last blood pressure reading (measured in the preceding 12 months) is 150/90 mmHg or less</w:t>
            </w:r>
          </w:p>
        </w:tc>
      </w:tr>
      <w:tr w:rsidR="00270BC3" w:rsidRPr="00270BC3" w14:paraId="34ADDDCA" w14:textId="77777777" w:rsidTr="00FB18C6">
        <w:trPr>
          <w:trHeight w:val="310"/>
          <w:jc w:val="right"/>
        </w:trPr>
        <w:tc>
          <w:tcPr>
            <w:tcW w:w="820" w:type="pct"/>
            <w:vMerge w:val="restart"/>
            <w:shd w:val="clear" w:color="auto" w:fill="auto"/>
            <w:noWrap/>
            <w:hideMark/>
          </w:tcPr>
          <w:p w14:paraId="1080F0C1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Diabetes mellitus control (HbA1C) </w:t>
            </w:r>
          </w:p>
        </w:tc>
        <w:tc>
          <w:tcPr>
            <w:tcW w:w="1858" w:type="pct"/>
            <w:vMerge w:val="restart"/>
            <w:shd w:val="clear" w:color="auto" w:fill="auto"/>
            <w:noWrap/>
            <w:hideMark/>
          </w:tcPr>
          <w:p w14:paraId="3DA0E804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Merger (DM020 &amp; DM021)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60F1BB5E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DM020 _ The percentage of patients with diabetes, on the register, without moderate or severe frailty in whom the last IFCC-HbA1c is 58 mmol/mol or less in the preceding 12 months</w:t>
            </w:r>
          </w:p>
        </w:tc>
      </w:tr>
      <w:tr w:rsidR="00270BC3" w:rsidRPr="00270BC3" w14:paraId="4311B058" w14:textId="77777777" w:rsidTr="00FB18C6">
        <w:trPr>
          <w:trHeight w:val="310"/>
          <w:jc w:val="right"/>
        </w:trPr>
        <w:tc>
          <w:tcPr>
            <w:tcW w:w="820" w:type="pct"/>
            <w:vMerge/>
            <w:shd w:val="clear" w:color="auto" w:fill="auto"/>
            <w:noWrap/>
            <w:hideMark/>
          </w:tcPr>
          <w:p w14:paraId="0D2263A8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58" w:type="pct"/>
            <w:vMerge/>
            <w:shd w:val="clear" w:color="auto" w:fill="auto"/>
            <w:noWrap/>
            <w:hideMark/>
          </w:tcPr>
          <w:p w14:paraId="7B55CC44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22" w:type="pct"/>
            <w:shd w:val="clear" w:color="auto" w:fill="auto"/>
            <w:noWrap/>
            <w:hideMark/>
          </w:tcPr>
          <w:p w14:paraId="258A3B4D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DM021 _ The percentage of patients with diabetes, on the register, without moderate or severe frailty in whom the last IFCC-HbA1c is 75 mmol/mol or less in the preceding 12 months</w:t>
            </w:r>
          </w:p>
        </w:tc>
      </w:tr>
      <w:tr w:rsidR="00270BC3" w:rsidRPr="00270BC3" w14:paraId="66B01CC5" w14:textId="77777777" w:rsidTr="00FB18C6">
        <w:trPr>
          <w:trHeight w:val="310"/>
          <w:jc w:val="right"/>
        </w:trPr>
        <w:tc>
          <w:tcPr>
            <w:tcW w:w="820" w:type="pct"/>
            <w:shd w:val="clear" w:color="auto" w:fill="auto"/>
            <w:noWrap/>
            <w:hideMark/>
          </w:tcPr>
          <w:p w14:paraId="18A702BA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Asthma reviews</w:t>
            </w:r>
          </w:p>
        </w:tc>
        <w:tc>
          <w:tcPr>
            <w:tcW w:w="1858" w:type="pct"/>
            <w:shd w:val="clear" w:color="auto" w:fill="auto"/>
            <w:noWrap/>
            <w:hideMark/>
          </w:tcPr>
          <w:p w14:paraId="5A205C7B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AST007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2688BC64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percentage of patients with asthma, on the register, who have had an asthma review in the preceding 12 months that includes </w:t>
            </w: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an assessment of asthma control using a validated asthma control questionnaire, a recording of the number of exacerbations, an assessment of inhaler technique and a written personalised asthma plan</w:t>
            </w:r>
          </w:p>
        </w:tc>
      </w:tr>
      <w:tr w:rsidR="00270BC3" w:rsidRPr="00270BC3" w14:paraId="5982EE3C" w14:textId="77777777" w:rsidTr="00FB18C6">
        <w:trPr>
          <w:trHeight w:val="870"/>
          <w:jc w:val="right"/>
        </w:trPr>
        <w:tc>
          <w:tcPr>
            <w:tcW w:w="820" w:type="pct"/>
            <w:shd w:val="clear" w:color="auto" w:fill="auto"/>
            <w:noWrap/>
            <w:hideMark/>
          </w:tcPr>
          <w:p w14:paraId="0D4CA69C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COPD reviews</w:t>
            </w:r>
          </w:p>
        </w:tc>
        <w:tc>
          <w:tcPr>
            <w:tcW w:w="1858" w:type="pct"/>
            <w:shd w:val="clear" w:color="auto" w:fill="auto"/>
            <w:noWrap/>
            <w:hideMark/>
          </w:tcPr>
          <w:p w14:paraId="50A05782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COPD010</w:t>
            </w:r>
          </w:p>
        </w:tc>
        <w:tc>
          <w:tcPr>
            <w:tcW w:w="2322" w:type="pct"/>
            <w:shd w:val="clear" w:color="auto" w:fill="auto"/>
            <w:hideMark/>
          </w:tcPr>
          <w:p w14:paraId="3249EFD8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percentage of patients with COPD, on the register, who have had a review in the preceding 12 months which included a record of the number of exacerbations and an assessment of breathlessness using the Medical Research Council dyspnoea scale</w:t>
            </w:r>
          </w:p>
        </w:tc>
      </w:tr>
      <w:tr w:rsidR="00270BC3" w:rsidRPr="00270BC3" w14:paraId="5B76E806" w14:textId="77777777" w:rsidTr="00FB18C6">
        <w:trPr>
          <w:trHeight w:val="290"/>
          <w:jc w:val="right"/>
        </w:trPr>
        <w:tc>
          <w:tcPr>
            <w:tcW w:w="820" w:type="pct"/>
            <w:shd w:val="clear" w:color="auto" w:fill="auto"/>
            <w:noWrap/>
            <w:hideMark/>
          </w:tcPr>
          <w:p w14:paraId="0EFA598E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Depression reviews</w:t>
            </w:r>
          </w:p>
        </w:tc>
        <w:tc>
          <w:tcPr>
            <w:tcW w:w="1858" w:type="pct"/>
            <w:shd w:val="clear" w:color="auto" w:fill="auto"/>
            <w:noWrap/>
            <w:hideMark/>
          </w:tcPr>
          <w:p w14:paraId="354A4353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DEP003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7D059D77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percentage of patients aged 18 or over with a new diagnosis of depression in the preceding 1 April to 31 March who have been reviewed not earlier than 10 days after and not later than 56 days after the date of diagnosis</w:t>
            </w:r>
          </w:p>
        </w:tc>
      </w:tr>
      <w:tr w:rsidR="00270BC3" w:rsidRPr="00270BC3" w14:paraId="60FC4F7E" w14:textId="77777777" w:rsidTr="00FB18C6">
        <w:trPr>
          <w:trHeight w:val="310"/>
          <w:jc w:val="right"/>
        </w:trPr>
        <w:tc>
          <w:tcPr>
            <w:tcW w:w="820" w:type="pct"/>
            <w:vMerge w:val="restart"/>
            <w:shd w:val="clear" w:color="auto" w:fill="auto"/>
            <w:noWrap/>
            <w:hideMark/>
          </w:tcPr>
          <w:p w14:paraId="7BB00984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Cervical cancer screening</w:t>
            </w:r>
          </w:p>
        </w:tc>
        <w:tc>
          <w:tcPr>
            <w:tcW w:w="1858" w:type="pct"/>
            <w:vMerge w:val="restart"/>
            <w:shd w:val="clear" w:color="auto" w:fill="auto"/>
            <w:noWrap/>
            <w:hideMark/>
          </w:tcPr>
          <w:p w14:paraId="2B69F6E7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Merger (CS005 &amp; CS006)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1B31CFC4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CS005 _ The percentage of women eligible for screening and aged 25-49 years at the end of the reporting period whose notes record that an adequate cervical screening test has been performed in the preceding 3 years and 6 months</w:t>
            </w:r>
          </w:p>
        </w:tc>
      </w:tr>
      <w:tr w:rsidR="00270BC3" w:rsidRPr="00270BC3" w14:paraId="0F606918" w14:textId="77777777" w:rsidTr="00FB18C6">
        <w:trPr>
          <w:trHeight w:val="310"/>
          <w:jc w:val="right"/>
        </w:trPr>
        <w:tc>
          <w:tcPr>
            <w:tcW w:w="820" w:type="pct"/>
            <w:vMerge/>
            <w:shd w:val="clear" w:color="auto" w:fill="auto"/>
            <w:noWrap/>
            <w:hideMark/>
          </w:tcPr>
          <w:p w14:paraId="4A8284F1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58" w:type="pct"/>
            <w:vMerge/>
            <w:shd w:val="clear" w:color="auto" w:fill="auto"/>
            <w:noWrap/>
            <w:hideMark/>
          </w:tcPr>
          <w:p w14:paraId="0C32E82C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22" w:type="pct"/>
            <w:shd w:val="clear" w:color="auto" w:fill="auto"/>
            <w:noWrap/>
            <w:hideMark/>
          </w:tcPr>
          <w:p w14:paraId="18019290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CS006 _ The percentage of women eligible for screening and aged 50-64 years at the end of the reporting period whose notes record that an adequate cervical screening test has been performed in the preceding 5 years and 6 months</w:t>
            </w:r>
          </w:p>
        </w:tc>
      </w:tr>
      <w:tr w:rsidR="00270BC3" w:rsidRPr="00270BC3" w14:paraId="0A8509FD" w14:textId="77777777" w:rsidTr="00FB18C6">
        <w:trPr>
          <w:trHeight w:val="290"/>
          <w:jc w:val="right"/>
        </w:trPr>
        <w:tc>
          <w:tcPr>
            <w:tcW w:w="820" w:type="pct"/>
            <w:vMerge w:val="restart"/>
            <w:shd w:val="clear" w:color="auto" w:fill="auto"/>
            <w:noWrap/>
            <w:hideMark/>
          </w:tcPr>
          <w:p w14:paraId="00AC7BD7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Immunisation rate</w:t>
            </w:r>
          </w:p>
        </w:tc>
        <w:tc>
          <w:tcPr>
            <w:tcW w:w="1858" w:type="pct"/>
            <w:vMerge w:val="restart"/>
            <w:shd w:val="clear" w:color="auto" w:fill="auto"/>
            <w:noWrap/>
            <w:hideMark/>
          </w:tcPr>
          <w:p w14:paraId="74178A78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Merger (VI001, VI002, VI003 &amp; VI004)</w:t>
            </w:r>
          </w:p>
        </w:tc>
        <w:tc>
          <w:tcPr>
            <w:tcW w:w="2322" w:type="pct"/>
            <w:shd w:val="clear" w:color="auto" w:fill="auto"/>
            <w:noWrap/>
            <w:hideMark/>
          </w:tcPr>
          <w:p w14:paraId="4628139B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VI001 _ The percentage of babies who reached 8 months old in the preceding 12 months, who have received at least 3 doses of a diphtheria, tetanus and pertussis containing vaccine before the age of 8 months</w:t>
            </w:r>
          </w:p>
        </w:tc>
      </w:tr>
      <w:tr w:rsidR="00270BC3" w:rsidRPr="00270BC3" w14:paraId="601835C8" w14:textId="77777777" w:rsidTr="00FB18C6">
        <w:trPr>
          <w:trHeight w:val="290"/>
          <w:jc w:val="right"/>
        </w:trPr>
        <w:tc>
          <w:tcPr>
            <w:tcW w:w="820" w:type="pct"/>
            <w:vMerge/>
            <w:shd w:val="clear" w:color="auto" w:fill="auto"/>
            <w:noWrap/>
            <w:hideMark/>
          </w:tcPr>
          <w:p w14:paraId="2CDCD8DF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58" w:type="pct"/>
            <w:vMerge/>
            <w:shd w:val="clear" w:color="auto" w:fill="auto"/>
            <w:noWrap/>
            <w:hideMark/>
          </w:tcPr>
          <w:p w14:paraId="2F78B210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22" w:type="pct"/>
            <w:shd w:val="clear" w:color="auto" w:fill="auto"/>
            <w:noWrap/>
            <w:hideMark/>
          </w:tcPr>
          <w:p w14:paraId="4453DB7D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VI002 _ The percentage of children who reached 18 months old in the preceding 12 months, who have received at least 1 dose of MMR between the ages of 12 and 18 months.</w:t>
            </w:r>
          </w:p>
        </w:tc>
      </w:tr>
      <w:tr w:rsidR="00270BC3" w:rsidRPr="00270BC3" w14:paraId="01A4834C" w14:textId="77777777" w:rsidTr="00FB18C6">
        <w:trPr>
          <w:trHeight w:val="290"/>
          <w:jc w:val="right"/>
        </w:trPr>
        <w:tc>
          <w:tcPr>
            <w:tcW w:w="820" w:type="pct"/>
            <w:vMerge/>
            <w:shd w:val="clear" w:color="auto" w:fill="auto"/>
            <w:noWrap/>
            <w:hideMark/>
          </w:tcPr>
          <w:p w14:paraId="1BD41EAA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58" w:type="pct"/>
            <w:vMerge/>
            <w:shd w:val="clear" w:color="auto" w:fill="auto"/>
            <w:noWrap/>
            <w:hideMark/>
          </w:tcPr>
          <w:p w14:paraId="33A90D8A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22" w:type="pct"/>
            <w:shd w:val="clear" w:color="auto" w:fill="auto"/>
            <w:noWrap/>
            <w:hideMark/>
          </w:tcPr>
          <w:p w14:paraId="7779404B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VI003 _ The percentage of children who reached 5 years old in the preceding 12 months, who have received a reinforcing dose of DTaP/IPV and at least 2 doses of MMR between the ages of 1 and 5 years</w:t>
            </w:r>
          </w:p>
        </w:tc>
      </w:tr>
      <w:tr w:rsidR="00270BC3" w:rsidRPr="00270BC3" w14:paraId="5FFF29B8" w14:textId="77777777" w:rsidTr="00FB18C6">
        <w:trPr>
          <w:trHeight w:val="290"/>
          <w:jc w:val="right"/>
        </w:trPr>
        <w:tc>
          <w:tcPr>
            <w:tcW w:w="820" w:type="pct"/>
            <w:vMerge/>
            <w:shd w:val="clear" w:color="auto" w:fill="auto"/>
            <w:noWrap/>
            <w:hideMark/>
          </w:tcPr>
          <w:p w14:paraId="1F4DAC70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58" w:type="pct"/>
            <w:vMerge/>
            <w:shd w:val="clear" w:color="auto" w:fill="auto"/>
            <w:noWrap/>
            <w:hideMark/>
          </w:tcPr>
          <w:p w14:paraId="01DD1684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22" w:type="pct"/>
            <w:shd w:val="clear" w:color="auto" w:fill="auto"/>
            <w:noWrap/>
            <w:hideMark/>
          </w:tcPr>
          <w:p w14:paraId="19B56C0F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VI004 _ The percentage of patients who reached 80 years old in the preceding 12 months, who have received a shingles vaccine between the ages of 70 and 79 years</w:t>
            </w:r>
          </w:p>
        </w:tc>
      </w:tr>
      <w:tr w:rsidR="00270BC3" w:rsidRPr="00270BC3" w14:paraId="756114A2" w14:textId="77777777" w:rsidTr="00FB18C6">
        <w:trPr>
          <w:trHeight w:val="290"/>
          <w:jc w:val="right"/>
        </w:trPr>
        <w:tc>
          <w:tcPr>
            <w:tcW w:w="820" w:type="pct"/>
            <w:shd w:val="clear" w:color="auto" w:fill="auto"/>
            <w:noWrap/>
          </w:tcPr>
          <w:p w14:paraId="5AF05BC2" w14:textId="77777777" w:rsidR="00270BC3" w:rsidRPr="00270BC3" w:rsidRDefault="00270BC3" w:rsidP="00270BC3">
            <w:pPr>
              <w:spacing w:after="0" w:line="36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Non-QOF clinical indicators</w:t>
            </w:r>
          </w:p>
        </w:tc>
        <w:tc>
          <w:tcPr>
            <w:tcW w:w="4180" w:type="pct"/>
            <w:gridSpan w:val="2"/>
            <w:shd w:val="clear" w:color="auto" w:fill="auto"/>
            <w:noWrap/>
          </w:tcPr>
          <w:p w14:paraId="51FD16D0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0BC3" w:rsidRPr="00270BC3" w14:paraId="39C805A8" w14:textId="77777777" w:rsidTr="00FB18C6">
        <w:trPr>
          <w:trHeight w:val="290"/>
          <w:jc w:val="right"/>
        </w:trPr>
        <w:tc>
          <w:tcPr>
            <w:tcW w:w="820" w:type="pct"/>
            <w:shd w:val="clear" w:color="auto" w:fill="auto"/>
            <w:noWrap/>
          </w:tcPr>
          <w:p w14:paraId="28617A59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Antibiotic prescription rate (crude measure)</w:t>
            </w:r>
          </w:p>
        </w:tc>
        <w:tc>
          <w:tcPr>
            <w:tcW w:w="1858" w:type="pct"/>
            <w:shd w:val="clear" w:color="auto" w:fill="auto"/>
            <w:noWrap/>
          </w:tcPr>
          <w:p w14:paraId="3E9F6699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Merger of data for Q1, Q2 &amp; Q3 of the year 2022</w:t>
            </w:r>
          </w:p>
        </w:tc>
        <w:tc>
          <w:tcPr>
            <w:tcW w:w="2322" w:type="pct"/>
            <w:shd w:val="clear" w:color="auto" w:fill="auto"/>
            <w:noWrap/>
          </w:tcPr>
          <w:p w14:paraId="042FD341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Total number of antibiotic items prescribed in primary care settings per 1000 registered patients per quarter. A lower value is associated with fewer items of antibiotics being prescribed.</w:t>
            </w:r>
          </w:p>
        </w:tc>
      </w:tr>
      <w:tr w:rsidR="00270BC3" w:rsidRPr="00270BC3" w14:paraId="71A8DB4F" w14:textId="77777777" w:rsidTr="00FB18C6">
        <w:trPr>
          <w:trHeight w:val="290"/>
          <w:jc w:val="right"/>
        </w:trPr>
        <w:tc>
          <w:tcPr>
            <w:tcW w:w="820" w:type="pct"/>
            <w:shd w:val="clear" w:color="auto" w:fill="auto"/>
            <w:noWrap/>
          </w:tcPr>
          <w:p w14:paraId="498DDBD7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Cancer detection rate</w:t>
            </w:r>
          </w:p>
        </w:tc>
        <w:tc>
          <w:tcPr>
            <w:tcW w:w="1858" w:type="pct"/>
            <w:shd w:val="clear" w:color="auto" w:fill="auto"/>
            <w:noWrap/>
          </w:tcPr>
          <w:p w14:paraId="6237B0D4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2021/2022 data </w:t>
            </w:r>
          </w:p>
          <w:p w14:paraId="0D879A2C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(1 year)</w:t>
            </w:r>
          </w:p>
        </w:tc>
        <w:tc>
          <w:tcPr>
            <w:tcW w:w="2322" w:type="pct"/>
            <w:shd w:val="clear" w:color="auto" w:fill="auto"/>
            <w:noWrap/>
          </w:tcPr>
          <w:p w14:paraId="263245B4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% of all cancer cases treated in a year resulting from a Two-Week-Wait referral (calculated by dividing </w:t>
            </w:r>
            <w:r w:rsidRPr="00270BC3">
              <w:rPr>
                <w:rFonts w:ascii="Arial" w:eastAsia="Calibri" w:hAnsi="Arial" w:cs="Arial"/>
                <w:kern w:val="0"/>
                <w:sz w:val="24"/>
                <w:szCs w:val="24"/>
                <w:shd w:val="clear" w:color="auto" w:fill="FFFFFF"/>
                <w14:ligatures w14:val="none"/>
              </w:rPr>
              <w:t>the number of new cancer cases treated in a year who were referred through the Two Week Wait referral route by the total number of patients registered at the practice who have a date of first treatment in the financial year on the Cancer Waiting Times system).</w:t>
            </w:r>
          </w:p>
        </w:tc>
      </w:tr>
      <w:tr w:rsidR="00270BC3" w:rsidRPr="00270BC3" w14:paraId="037913BA" w14:textId="77777777" w:rsidTr="00FB18C6">
        <w:trPr>
          <w:trHeight w:val="290"/>
          <w:jc w:val="right"/>
        </w:trPr>
        <w:tc>
          <w:tcPr>
            <w:tcW w:w="820" w:type="pct"/>
            <w:tcBorders>
              <w:bottom w:val="single" w:sz="8" w:space="0" w:color="auto"/>
            </w:tcBorders>
            <w:shd w:val="clear" w:color="auto" w:fill="auto"/>
            <w:noWrap/>
          </w:tcPr>
          <w:p w14:paraId="75F26C7E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Cancer emergency presentation</w:t>
            </w:r>
          </w:p>
        </w:tc>
        <w:tc>
          <w:tcPr>
            <w:tcW w:w="1858" w:type="pct"/>
            <w:tcBorders>
              <w:bottom w:val="single" w:sz="8" w:space="0" w:color="auto"/>
            </w:tcBorders>
            <w:shd w:val="clear" w:color="auto" w:fill="auto"/>
            <w:noWrap/>
          </w:tcPr>
          <w:p w14:paraId="70391548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2021/2022 data </w:t>
            </w:r>
          </w:p>
          <w:p w14:paraId="58F26091" w14:textId="77777777" w:rsidR="00270BC3" w:rsidRPr="00270BC3" w:rsidRDefault="00270BC3" w:rsidP="00270BC3">
            <w:pPr>
              <w:spacing w:after="0" w:line="48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(1 year)</w:t>
            </w:r>
          </w:p>
        </w:tc>
        <w:tc>
          <w:tcPr>
            <w:tcW w:w="2322" w:type="pct"/>
            <w:tcBorders>
              <w:bottom w:val="single" w:sz="8" w:space="0" w:color="auto"/>
            </w:tcBorders>
            <w:shd w:val="clear" w:color="auto" w:fill="auto"/>
            <w:noWrap/>
          </w:tcPr>
          <w:p w14:paraId="656F8CCA" w14:textId="77777777" w:rsidR="00270BC3" w:rsidRPr="00270BC3" w:rsidRDefault="00270BC3" w:rsidP="00270BC3">
            <w:p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0BC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crude rate of persons diagnosed with cancer via an emergency route divided by the number of persons in the practice list, expressed as a rate per 100,000 persons</w:t>
            </w:r>
          </w:p>
        </w:tc>
      </w:tr>
    </w:tbl>
    <w:p w14:paraId="27602EC4" w14:textId="77777777" w:rsidR="00270BC3" w:rsidRDefault="00270BC3"/>
    <w:sectPr w:rsidR="00270BC3" w:rsidSect="009D77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C3"/>
    <w:rsid w:val="00270BC3"/>
    <w:rsid w:val="002F414F"/>
    <w:rsid w:val="009D7733"/>
    <w:rsid w:val="00B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151B"/>
  <w15:chartTrackingRefBased/>
  <w15:docId w15:val="{860A9837-3F87-4E5C-8876-46C17B98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Bornwell Kayira</dc:creator>
  <cp:keywords/>
  <dc:description/>
  <cp:lastModifiedBy>Alfred Bornwell Kayira</cp:lastModifiedBy>
  <cp:revision>2</cp:revision>
  <dcterms:created xsi:type="dcterms:W3CDTF">2024-01-19T16:01:00Z</dcterms:created>
  <dcterms:modified xsi:type="dcterms:W3CDTF">2024-01-19T16:05:00Z</dcterms:modified>
</cp:coreProperties>
</file>