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1FCFD" w14:textId="66734BA8" w:rsidR="00371BC1" w:rsidRPr="00365C1A" w:rsidRDefault="00371BC1" w:rsidP="0014489C">
      <w:pPr>
        <w:spacing w:afterLines="100" w:after="312"/>
        <w:jc w:val="center"/>
        <w:rPr>
          <w:color w:val="000000" w:themeColor="text1"/>
          <w:sz w:val="32"/>
          <w:szCs w:val="32"/>
        </w:rPr>
      </w:pPr>
      <w:r w:rsidRPr="00365C1A">
        <w:rPr>
          <w:rFonts w:hint="eastAsia"/>
          <w:color w:val="000000" w:themeColor="text1"/>
          <w:sz w:val="32"/>
          <w:szCs w:val="32"/>
        </w:rPr>
        <w:t>S</w:t>
      </w:r>
      <w:r w:rsidRPr="00365C1A">
        <w:rPr>
          <w:color w:val="000000" w:themeColor="text1"/>
          <w:sz w:val="32"/>
          <w:szCs w:val="32"/>
        </w:rPr>
        <w:t>upplementary Information</w:t>
      </w:r>
    </w:p>
    <w:p w14:paraId="124F0761" w14:textId="642360AC" w:rsidR="00FE0964" w:rsidRPr="00371BC1" w:rsidRDefault="00726547" w:rsidP="0014489C">
      <w:pPr>
        <w:spacing w:afterLines="50" w:after="156"/>
        <w:jc w:val="center"/>
        <w:rPr>
          <w:b/>
          <w:bCs/>
          <w:color w:val="000000" w:themeColor="text1"/>
          <w:sz w:val="24"/>
          <w:szCs w:val="24"/>
        </w:rPr>
      </w:pPr>
      <w:r w:rsidRPr="00726547">
        <w:rPr>
          <w:b/>
          <w:bCs/>
          <w:color w:val="000000" w:themeColor="text1"/>
          <w:sz w:val="28"/>
          <w:szCs w:val="28"/>
        </w:rPr>
        <w:t>A dynamically gated triangular DNA nanopore for molecular sensing and cross-membrane transport</w:t>
      </w:r>
    </w:p>
    <w:p w14:paraId="7CDACB02" w14:textId="181673A2" w:rsidR="00FE0964" w:rsidRPr="00371BC1" w:rsidRDefault="00781AF5" w:rsidP="0014489C">
      <w:pPr>
        <w:spacing w:afterLines="50" w:after="156"/>
        <w:jc w:val="left"/>
        <w:rPr>
          <w:color w:val="000000" w:themeColor="text1"/>
          <w:sz w:val="24"/>
          <w:szCs w:val="24"/>
        </w:rPr>
      </w:pPr>
      <w:proofErr w:type="spellStart"/>
      <w:r w:rsidRPr="00781AF5">
        <w:rPr>
          <w:color w:val="000000" w:themeColor="text1"/>
          <w:sz w:val="24"/>
          <w:szCs w:val="24"/>
        </w:rPr>
        <w:t>Xiaoming</w:t>
      </w:r>
      <w:proofErr w:type="spellEnd"/>
      <w:r w:rsidRPr="00781AF5">
        <w:rPr>
          <w:color w:val="000000" w:themeColor="text1"/>
          <w:sz w:val="24"/>
          <w:szCs w:val="24"/>
        </w:rPr>
        <w:t xml:space="preserve"> Liu</w:t>
      </w:r>
      <w:r w:rsidRPr="00781AF5">
        <w:rPr>
          <w:color w:val="000000" w:themeColor="text1"/>
          <w:sz w:val="24"/>
          <w:szCs w:val="24"/>
          <w:vertAlign w:val="superscript"/>
        </w:rPr>
        <w:t>1,2,6,</w:t>
      </w:r>
      <w:r w:rsidRPr="00B2245A">
        <w:rPr>
          <w:color w:val="000000" w:themeColor="text1"/>
          <w:sz w:val="24"/>
          <w:szCs w:val="24"/>
        </w:rPr>
        <w:t>*</w:t>
      </w:r>
      <w:r w:rsidRPr="00781AF5">
        <w:rPr>
          <w:color w:val="000000" w:themeColor="text1"/>
          <w:sz w:val="24"/>
          <w:szCs w:val="24"/>
        </w:rPr>
        <w:t>, Fengyu Liu</w:t>
      </w:r>
      <w:r w:rsidRPr="00781AF5">
        <w:rPr>
          <w:color w:val="000000" w:themeColor="text1"/>
          <w:sz w:val="24"/>
          <w:szCs w:val="24"/>
          <w:vertAlign w:val="superscript"/>
        </w:rPr>
        <w:t>1,2,6</w:t>
      </w:r>
      <w:r w:rsidRPr="00781AF5">
        <w:rPr>
          <w:color w:val="000000" w:themeColor="text1"/>
          <w:sz w:val="24"/>
          <w:szCs w:val="24"/>
        </w:rPr>
        <w:t xml:space="preserve">, </w:t>
      </w:r>
      <w:proofErr w:type="spellStart"/>
      <w:r w:rsidRPr="00781AF5">
        <w:rPr>
          <w:color w:val="000000" w:themeColor="text1"/>
          <w:sz w:val="24"/>
          <w:szCs w:val="24"/>
        </w:rPr>
        <w:t>Hemani</w:t>
      </w:r>
      <w:proofErr w:type="spellEnd"/>
      <w:r w:rsidRPr="00781AF5">
        <w:rPr>
          <w:color w:val="000000" w:themeColor="text1"/>
          <w:sz w:val="24"/>
          <w:szCs w:val="24"/>
        </w:rPr>
        <w:t xml:space="preserve"> Chhabra</w:t>
      </w:r>
      <w:r w:rsidRPr="00781AF5">
        <w:rPr>
          <w:color w:val="000000" w:themeColor="text1"/>
          <w:sz w:val="24"/>
          <w:szCs w:val="24"/>
          <w:vertAlign w:val="superscript"/>
        </w:rPr>
        <w:t>3</w:t>
      </w:r>
      <w:r w:rsidRPr="00781AF5">
        <w:rPr>
          <w:color w:val="000000" w:themeColor="text1"/>
          <w:sz w:val="24"/>
          <w:szCs w:val="24"/>
        </w:rPr>
        <w:t>, Christopher Maffeo</w:t>
      </w:r>
      <w:r w:rsidRPr="00781AF5">
        <w:rPr>
          <w:color w:val="000000" w:themeColor="text1"/>
          <w:sz w:val="24"/>
          <w:szCs w:val="24"/>
          <w:vertAlign w:val="superscript"/>
        </w:rPr>
        <w:t>3,4</w:t>
      </w:r>
      <w:r w:rsidRPr="00781AF5">
        <w:rPr>
          <w:color w:val="000000" w:themeColor="text1"/>
          <w:sz w:val="24"/>
          <w:szCs w:val="24"/>
        </w:rPr>
        <w:t xml:space="preserve">, </w:t>
      </w:r>
      <w:proofErr w:type="spellStart"/>
      <w:r w:rsidRPr="00781AF5">
        <w:rPr>
          <w:color w:val="000000" w:themeColor="text1"/>
          <w:sz w:val="24"/>
          <w:szCs w:val="24"/>
        </w:rPr>
        <w:t>Qiang</w:t>
      </w:r>
      <w:proofErr w:type="spellEnd"/>
      <w:r w:rsidRPr="00781AF5">
        <w:rPr>
          <w:color w:val="000000" w:themeColor="text1"/>
          <w:sz w:val="24"/>
          <w:szCs w:val="24"/>
        </w:rPr>
        <w:t xml:space="preserve"> Huang</w:t>
      </w:r>
      <w:r w:rsidRPr="00781AF5">
        <w:rPr>
          <w:color w:val="000000" w:themeColor="text1"/>
          <w:sz w:val="24"/>
          <w:szCs w:val="24"/>
          <w:vertAlign w:val="superscript"/>
        </w:rPr>
        <w:t>1,2</w:t>
      </w:r>
      <w:r w:rsidRPr="00781AF5">
        <w:rPr>
          <w:color w:val="000000" w:themeColor="text1"/>
          <w:sz w:val="24"/>
          <w:szCs w:val="24"/>
        </w:rPr>
        <w:t xml:space="preserve">, </w:t>
      </w:r>
      <w:proofErr w:type="spellStart"/>
      <w:r w:rsidRPr="00781AF5">
        <w:rPr>
          <w:color w:val="000000" w:themeColor="text1"/>
          <w:sz w:val="24"/>
          <w:szCs w:val="24"/>
        </w:rPr>
        <w:t>Aleksei</w:t>
      </w:r>
      <w:proofErr w:type="spellEnd"/>
      <w:r w:rsidRPr="00781AF5">
        <w:rPr>
          <w:color w:val="000000" w:themeColor="text1"/>
          <w:sz w:val="24"/>
          <w:szCs w:val="24"/>
        </w:rPr>
        <w:t xml:space="preserve"> Aksimentiev</w:t>
      </w:r>
      <w:r w:rsidRPr="00781AF5">
        <w:rPr>
          <w:color w:val="000000" w:themeColor="text1"/>
          <w:sz w:val="24"/>
          <w:szCs w:val="24"/>
          <w:vertAlign w:val="superscript"/>
        </w:rPr>
        <w:t>3,4,</w:t>
      </w:r>
      <w:r w:rsidRPr="00B2245A">
        <w:rPr>
          <w:color w:val="000000" w:themeColor="text1"/>
          <w:sz w:val="24"/>
          <w:szCs w:val="24"/>
        </w:rPr>
        <w:t>*</w:t>
      </w:r>
      <w:r w:rsidRPr="00781AF5">
        <w:rPr>
          <w:color w:val="000000" w:themeColor="text1"/>
          <w:sz w:val="24"/>
          <w:szCs w:val="24"/>
        </w:rPr>
        <w:t xml:space="preserve"> &amp; Tatsuo Arai</w:t>
      </w:r>
      <w:r w:rsidRPr="00781AF5">
        <w:rPr>
          <w:color w:val="000000" w:themeColor="text1"/>
          <w:sz w:val="24"/>
          <w:szCs w:val="24"/>
          <w:vertAlign w:val="superscript"/>
        </w:rPr>
        <w:t>1,2,5</w:t>
      </w:r>
    </w:p>
    <w:p w14:paraId="70AB0376" w14:textId="305ED662" w:rsidR="00FE0964" w:rsidRPr="00371BC1" w:rsidRDefault="00FE0964" w:rsidP="002A228B">
      <w:pPr>
        <w:spacing w:line="360" w:lineRule="auto"/>
        <w:jc w:val="left"/>
        <w:rPr>
          <w:color w:val="000000" w:themeColor="text1"/>
          <w:szCs w:val="21"/>
        </w:rPr>
      </w:pPr>
      <w:r w:rsidRPr="00371BC1">
        <w:rPr>
          <w:color w:val="000000" w:themeColor="text1"/>
          <w:szCs w:val="21"/>
          <w:vertAlign w:val="superscript"/>
        </w:rPr>
        <w:t>1</w:t>
      </w:r>
      <w:r w:rsidRPr="00371BC1">
        <w:rPr>
          <w:color w:val="000000" w:themeColor="text1"/>
          <w:szCs w:val="21"/>
        </w:rPr>
        <w:t xml:space="preserve">School of </w:t>
      </w:r>
      <w:proofErr w:type="spellStart"/>
      <w:r w:rsidRPr="00371BC1">
        <w:rPr>
          <w:color w:val="000000" w:themeColor="text1"/>
          <w:szCs w:val="21"/>
        </w:rPr>
        <w:t>Mechatronical</w:t>
      </w:r>
      <w:proofErr w:type="spellEnd"/>
      <w:r w:rsidRPr="00371BC1">
        <w:rPr>
          <w:color w:val="000000" w:themeColor="text1"/>
          <w:szCs w:val="21"/>
        </w:rPr>
        <w:t xml:space="preserve"> Engineering, Beijing Institute of Technology, Beijing, China</w:t>
      </w:r>
      <w:r w:rsidR="00781AF5">
        <w:rPr>
          <w:color w:val="000000" w:themeColor="text1"/>
          <w:szCs w:val="21"/>
        </w:rPr>
        <w:t>.</w:t>
      </w:r>
    </w:p>
    <w:p w14:paraId="6BB0A9E5" w14:textId="415340D9" w:rsidR="00FE0964" w:rsidRPr="00371BC1" w:rsidRDefault="00FE0964" w:rsidP="002A228B">
      <w:pPr>
        <w:spacing w:line="360" w:lineRule="auto"/>
        <w:jc w:val="left"/>
        <w:rPr>
          <w:color w:val="000000" w:themeColor="text1"/>
          <w:szCs w:val="21"/>
        </w:rPr>
      </w:pPr>
      <w:r w:rsidRPr="00371BC1">
        <w:rPr>
          <w:color w:val="000000" w:themeColor="text1"/>
          <w:szCs w:val="21"/>
          <w:vertAlign w:val="superscript"/>
        </w:rPr>
        <w:t>2</w:t>
      </w:r>
      <w:r w:rsidRPr="00371BC1">
        <w:rPr>
          <w:color w:val="000000" w:themeColor="text1"/>
          <w:szCs w:val="21"/>
        </w:rPr>
        <w:t>Beijing Advanced Innovation Center for Intelligent Robots and Systems, Beijing Institute of Technology, Beijing, China</w:t>
      </w:r>
      <w:r w:rsidR="00781AF5">
        <w:rPr>
          <w:color w:val="000000" w:themeColor="text1"/>
          <w:szCs w:val="21"/>
        </w:rPr>
        <w:t>.</w:t>
      </w:r>
    </w:p>
    <w:p w14:paraId="7372A2E9" w14:textId="31EB971B" w:rsidR="00FE0964" w:rsidRPr="00371BC1" w:rsidRDefault="00FE0964" w:rsidP="002A228B">
      <w:pPr>
        <w:spacing w:line="360" w:lineRule="auto"/>
        <w:jc w:val="left"/>
        <w:rPr>
          <w:color w:val="000000" w:themeColor="text1"/>
          <w:szCs w:val="21"/>
        </w:rPr>
      </w:pPr>
      <w:r w:rsidRPr="00371BC1">
        <w:rPr>
          <w:color w:val="000000" w:themeColor="text1"/>
          <w:szCs w:val="21"/>
          <w:vertAlign w:val="superscript"/>
        </w:rPr>
        <w:t>3</w:t>
      </w:r>
      <w:r w:rsidRPr="00371BC1">
        <w:rPr>
          <w:color w:val="000000" w:themeColor="text1"/>
          <w:szCs w:val="21"/>
        </w:rPr>
        <w:t>Department of Physics, University of Illinois at Urbana Champaign, Urbana, IL, USA</w:t>
      </w:r>
      <w:r w:rsidR="00781AF5">
        <w:rPr>
          <w:color w:val="000000" w:themeColor="text1"/>
          <w:szCs w:val="21"/>
        </w:rPr>
        <w:t>.</w:t>
      </w:r>
    </w:p>
    <w:p w14:paraId="0FE0B411" w14:textId="3610AB38" w:rsidR="00FE0964" w:rsidRPr="00371BC1" w:rsidRDefault="00FE0964" w:rsidP="002A228B">
      <w:pPr>
        <w:spacing w:line="360" w:lineRule="auto"/>
        <w:jc w:val="left"/>
        <w:rPr>
          <w:color w:val="000000" w:themeColor="text1"/>
          <w:szCs w:val="21"/>
        </w:rPr>
      </w:pPr>
      <w:r w:rsidRPr="00371BC1">
        <w:rPr>
          <w:color w:val="000000" w:themeColor="text1"/>
          <w:szCs w:val="21"/>
          <w:vertAlign w:val="superscript"/>
        </w:rPr>
        <w:t>4</w:t>
      </w:r>
      <w:r w:rsidRPr="00371BC1">
        <w:rPr>
          <w:color w:val="000000" w:themeColor="text1"/>
          <w:szCs w:val="21"/>
        </w:rPr>
        <w:t>Beckman Institute for Advanced Science and Technology, University of Illinois at Urbana Champaign, Urbana, IL, USA</w:t>
      </w:r>
      <w:r w:rsidR="00781AF5">
        <w:rPr>
          <w:color w:val="000000" w:themeColor="text1"/>
          <w:szCs w:val="21"/>
        </w:rPr>
        <w:t>.</w:t>
      </w:r>
    </w:p>
    <w:p w14:paraId="3A68A78C" w14:textId="6CF3372E" w:rsidR="00FE0964" w:rsidRDefault="00FE0964" w:rsidP="002A228B">
      <w:pPr>
        <w:spacing w:line="360" w:lineRule="auto"/>
        <w:jc w:val="left"/>
        <w:rPr>
          <w:color w:val="000000" w:themeColor="text1"/>
          <w:szCs w:val="21"/>
        </w:rPr>
      </w:pPr>
      <w:r w:rsidRPr="00371BC1">
        <w:rPr>
          <w:color w:val="000000" w:themeColor="text1"/>
          <w:szCs w:val="21"/>
          <w:vertAlign w:val="superscript"/>
        </w:rPr>
        <w:t>5</w:t>
      </w:r>
      <w:r w:rsidRPr="00371BC1">
        <w:rPr>
          <w:color w:val="000000" w:themeColor="text1"/>
          <w:szCs w:val="21"/>
        </w:rPr>
        <w:t>Center for Neuroscience and Biomedical Engineering, The University of Electro-Communications, Tokyo, Japan</w:t>
      </w:r>
      <w:r w:rsidR="00781AF5">
        <w:rPr>
          <w:color w:val="000000" w:themeColor="text1"/>
          <w:szCs w:val="21"/>
        </w:rPr>
        <w:t>.</w:t>
      </w:r>
    </w:p>
    <w:p w14:paraId="4998E010" w14:textId="6E944A2B" w:rsidR="00781AF5" w:rsidRPr="00371BC1" w:rsidRDefault="00781AF5" w:rsidP="002A228B">
      <w:pPr>
        <w:spacing w:line="360" w:lineRule="auto"/>
        <w:jc w:val="left"/>
        <w:rPr>
          <w:color w:val="000000" w:themeColor="text1"/>
          <w:szCs w:val="21"/>
        </w:rPr>
      </w:pPr>
      <w:r w:rsidRPr="00781AF5">
        <w:rPr>
          <w:color w:val="000000" w:themeColor="text1"/>
          <w:szCs w:val="21"/>
          <w:vertAlign w:val="superscript"/>
        </w:rPr>
        <w:t>6</w:t>
      </w:r>
      <w:r w:rsidRPr="00781AF5">
        <w:rPr>
          <w:color w:val="000000" w:themeColor="text1"/>
          <w:szCs w:val="21"/>
        </w:rPr>
        <w:t xml:space="preserve">These authors contributed equally: </w:t>
      </w:r>
      <w:proofErr w:type="spellStart"/>
      <w:r w:rsidRPr="00781AF5">
        <w:rPr>
          <w:color w:val="000000" w:themeColor="text1"/>
          <w:szCs w:val="21"/>
        </w:rPr>
        <w:t>Xiaoming</w:t>
      </w:r>
      <w:proofErr w:type="spellEnd"/>
      <w:r w:rsidRPr="00781AF5">
        <w:rPr>
          <w:color w:val="000000" w:themeColor="text1"/>
          <w:szCs w:val="21"/>
        </w:rPr>
        <w:t xml:space="preserve"> Liu, Fengyu Liu.</w:t>
      </w:r>
    </w:p>
    <w:p w14:paraId="6DF90D11" w14:textId="49EE4AE8" w:rsidR="00FE0964" w:rsidRPr="00371BC1" w:rsidRDefault="00FE0964" w:rsidP="002A228B">
      <w:pPr>
        <w:widowControl/>
        <w:spacing w:line="360" w:lineRule="auto"/>
        <w:jc w:val="left"/>
        <w:rPr>
          <w:b/>
          <w:bCs/>
          <w:sz w:val="20"/>
          <w:szCs w:val="21"/>
        </w:rPr>
      </w:pPr>
      <w:r w:rsidRPr="00B2245A">
        <w:rPr>
          <w:color w:val="000000" w:themeColor="text1"/>
          <w:szCs w:val="21"/>
        </w:rPr>
        <w:t>*</w:t>
      </w:r>
      <w:r w:rsidRPr="00371BC1">
        <w:rPr>
          <w:color w:val="000000" w:themeColor="text1"/>
          <w:szCs w:val="21"/>
        </w:rPr>
        <w:t xml:space="preserve">Correspondence should be addressed to </w:t>
      </w:r>
      <w:proofErr w:type="spellStart"/>
      <w:r w:rsidRPr="00371BC1">
        <w:rPr>
          <w:color w:val="000000" w:themeColor="text1"/>
          <w:szCs w:val="21"/>
        </w:rPr>
        <w:t>Xiaoming</w:t>
      </w:r>
      <w:proofErr w:type="spellEnd"/>
      <w:r w:rsidRPr="00371BC1">
        <w:rPr>
          <w:color w:val="000000" w:themeColor="text1"/>
          <w:szCs w:val="21"/>
        </w:rPr>
        <w:t xml:space="preserve"> Liu (liuxiaoming555@bit.edu.cn) </w:t>
      </w:r>
      <w:r w:rsidR="00781AF5">
        <w:rPr>
          <w:color w:val="000000" w:themeColor="text1"/>
          <w:szCs w:val="21"/>
        </w:rPr>
        <w:t>or</w:t>
      </w:r>
      <w:r w:rsidRPr="00371BC1">
        <w:rPr>
          <w:color w:val="000000" w:themeColor="text1"/>
          <w:szCs w:val="21"/>
        </w:rPr>
        <w:t xml:space="preserve"> </w:t>
      </w:r>
      <w:proofErr w:type="spellStart"/>
      <w:r w:rsidRPr="00371BC1">
        <w:rPr>
          <w:color w:val="000000" w:themeColor="text1"/>
          <w:szCs w:val="21"/>
        </w:rPr>
        <w:t>Aleksei</w:t>
      </w:r>
      <w:proofErr w:type="spellEnd"/>
      <w:r w:rsidRPr="00371BC1">
        <w:rPr>
          <w:color w:val="000000" w:themeColor="text1"/>
          <w:szCs w:val="21"/>
        </w:rPr>
        <w:t xml:space="preserve"> </w:t>
      </w:r>
      <w:proofErr w:type="spellStart"/>
      <w:r w:rsidRPr="00371BC1">
        <w:rPr>
          <w:color w:val="000000" w:themeColor="text1"/>
          <w:szCs w:val="21"/>
        </w:rPr>
        <w:t>Aksimentiev</w:t>
      </w:r>
      <w:proofErr w:type="spellEnd"/>
      <w:r w:rsidRPr="00371BC1">
        <w:rPr>
          <w:color w:val="000000" w:themeColor="text1"/>
          <w:szCs w:val="21"/>
        </w:rPr>
        <w:t xml:space="preserve"> (aksiment@illinois.edu)</w:t>
      </w:r>
      <w:r w:rsidR="00781AF5">
        <w:rPr>
          <w:color w:val="000000" w:themeColor="text1"/>
          <w:szCs w:val="21"/>
        </w:rPr>
        <w:t>.</w:t>
      </w:r>
    </w:p>
    <w:p w14:paraId="025FCED7" w14:textId="308EB66C" w:rsidR="00FE0964" w:rsidRDefault="00FE0964">
      <w:pPr>
        <w:widowControl/>
        <w:jc w:val="left"/>
        <w:rPr>
          <w:b/>
          <w:bCs/>
        </w:rPr>
      </w:pPr>
      <w:r>
        <w:rPr>
          <w:b/>
          <w:bCs/>
        </w:rPr>
        <w:br w:type="page"/>
      </w:r>
    </w:p>
    <w:p w14:paraId="5306A989" w14:textId="1D9FAF27" w:rsidR="002A1F04" w:rsidRPr="00481BDD" w:rsidRDefault="00EA1BAF" w:rsidP="002A1F04">
      <w:pPr>
        <w:widowControl/>
        <w:spacing w:line="360" w:lineRule="auto"/>
        <w:rPr>
          <w:rFonts w:hint="eastAsia"/>
        </w:rPr>
      </w:pPr>
      <w:r>
        <w:rPr>
          <w:b/>
          <w:bCs/>
          <w:noProof/>
        </w:rPr>
        <w:lastRenderedPageBreak/>
        <w:drawing>
          <wp:anchor distT="0" distB="0" distL="114300" distR="114300" simplePos="0" relativeHeight="251689472" behindDoc="0" locked="0" layoutInCell="1" allowOverlap="1" wp14:anchorId="003D4D2A" wp14:editId="7A0A8B49">
            <wp:simplePos x="0" y="0"/>
            <wp:positionH relativeFrom="column">
              <wp:posOffset>0</wp:posOffset>
            </wp:positionH>
            <wp:positionV relativeFrom="paragraph">
              <wp:posOffset>478</wp:posOffset>
            </wp:positionV>
            <wp:extent cx="5274310" cy="2060575"/>
            <wp:effectExtent l="0" t="0" r="254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060575"/>
                    </a:xfrm>
                    <a:prstGeom prst="rect">
                      <a:avLst/>
                    </a:prstGeom>
                  </pic:spPr>
                </pic:pic>
              </a:graphicData>
            </a:graphic>
          </wp:anchor>
        </w:drawing>
      </w:r>
      <w:r w:rsidR="002A1F04">
        <w:rPr>
          <w:b/>
          <w:bCs/>
        </w:rPr>
        <w:t>Supplementary Fig. 1</w:t>
      </w:r>
      <w:r w:rsidR="002A1F04">
        <w:t xml:space="preserve"> </w:t>
      </w:r>
      <w:r w:rsidR="006419B6">
        <w:t>T</w:t>
      </w:r>
      <w:r w:rsidR="006419B6">
        <w:rPr>
          <w:rFonts w:hint="eastAsia"/>
        </w:rPr>
        <w:t>he</w:t>
      </w:r>
      <w:r w:rsidR="006419B6">
        <w:t xml:space="preserve"> r</w:t>
      </w:r>
      <w:r w:rsidR="00AF2394">
        <w:t>oute design</w:t>
      </w:r>
      <w:r w:rsidR="006419B6">
        <w:t>s</w:t>
      </w:r>
      <w:r w:rsidR="00AF2394">
        <w:t xml:space="preserve"> </w:t>
      </w:r>
      <w:r w:rsidR="006419B6">
        <w:t>of</w:t>
      </w:r>
      <w:r w:rsidR="002A1F04">
        <w:t xml:space="preserve"> DNP-E and DNP-C. </w:t>
      </w:r>
      <w:bookmarkStart w:id="0" w:name="OLE_LINK7"/>
      <w:bookmarkStart w:id="1" w:name="OLE_LINK28"/>
      <w:r w:rsidR="001A15F4">
        <w:t>T</w:t>
      </w:r>
      <w:r w:rsidR="001A15F4">
        <w:rPr>
          <w:rFonts w:hint="eastAsia"/>
        </w:rPr>
        <w:t>he</w:t>
      </w:r>
      <w:r w:rsidR="001A15F4">
        <w:t xml:space="preserve"> novel</w:t>
      </w:r>
      <w:r w:rsidR="000867EB">
        <w:t xml:space="preserve"> design enables </w:t>
      </w:r>
      <w:r w:rsidR="00AF2394">
        <w:t>the bidirectional</w:t>
      </w:r>
      <w:r w:rsidR="000867EB">
        <w:t xml:space="preserve"> mechanical transition of the DNA nanopore</w:t>
      </w:r>
      <w:r w:rsidR="003D4E99">
        <w:t xml:space="preserve"> between DNP-E (</w:t>
      </w:r>
      <w:r w:rsidR="003D4E99" w:rsidRPr="00642EAB">
        <w:rPr>
          <w:b/>
          <w:bCs/>
        </w:rPr>
        <w:t>a</w:t>
      </w:r>
      <w:r w:rsidR="003D4E99">
        <w:t>) and DNP-C (</w:t>
      </w:r>
      <w:r w:rsidR="003D4E99" w:rsidRPr="00642EAB">
        <w:rPr>
          <w:b/>
          <w:bCs/>
        </w:rPr>
        <w:t>b</w:t>
      </w:r>
      <w:r w:rsidR="003D4E99">
        <w:t>)</w:t>
      </w:r>
      <w:r w:rsidR="00642EAB">
        <w:t xml:space="preserve"> by</w:t>
      </w:r>
      <w:r w:rsidR="002E71E4">
        <w:t xml:space="preserve"> </w:t>
      </w:r>
      <w:r w:rsidR="00642EAB">
        <w:t>pinching</w:t>
      </w:r>
      <w:r w:rsidR="000867EB">
        <w:t xml:space="preserve"> and </w:t>
      </w:r>
      <w:r w:rsidR="00642EAB">
        <w:t>releasing the three corners</w:t>
      </w:r>
      <w:r w:rsidR="000867EB">
        <w:t xml:space="preserve"> of the triangular frame</w:t>
      </w:r>
      <w:r w:rsidR="003D4E99">
        <w:t>.</w:t>
      </w:r>
      <w:bookmarkEnd w:id="0"/>
      <w:r w:rsidR="003D4E99">
        <w:t xml:space="preserve"> </w:t>
      </w:r>
      <w:bookmarkEnd w:id="1"/>
      <w:r w:rsidR="002A1F04">
        <w:t>The blue line represents the scaffold DNA of designed DNA nanopores.</w:t>
      </w:r>
      <w:r w:rsidR="00033F4E">
        <w:t xml:space="preserve"> </w:t>
      </w:r>
      <w:bookmarkStart w:id="2" w:name="OLE_LINK2"/>
      <w:r w:rsidR="007563CA">
        <w:t>Some</w:t>
      </w:r>
      <w:r w:rsidR="00111E00">
        <w:t xml:space="preserve"> </w:t>
      </w:r>
      <w:r w:rsidR="007563CA">
        <w:t xml:space="preserve">nucleotides in the </w:t>
      </w:r>
      <w:r w:rsidR="00111E00">
        <w:t xml:space="preserve">scaffold DNA </w:t>
      </w:r>
      <w:r w:rsidR="007563CA">
        <w:t xml:space="preserve">are not complementary to any of the staple strands and </w:t>
      </w:r>
      <w:bookmarkStart w:id="3" w:name="OLE_LINK3"/>
      <w:r w:rsidR="00111E00">
        <w:t>serve</w:t>
      </w:r>
      <w:bookmarkEnd w:id="3"/>
      <w:r w:rsidR="00111E00">
        <w:t xml:space="preserve"> as </w:t>
      </w:r>
      <w:r w:rsidR="002E71E4">
        <w:t>single-stranded</w:t>
      </w:r>
      <w:r w:rsidR="00111E00">
        <w:t xml:space="preserve"> hinges at </w:t>
      </w:r>
      <w:r w:rsidR="00C44552">
        <w:t>each</w:t>
      </w:r>
      <w:r w:rsidR="00111E00">
        <w:t xml:space="preserve"> corner to </w:t>
      </w:r>
      <w:r w:rsidR="00C44552">
        <w:t>minimize</w:t>
      </w:r>
      <w:r w:rsidR="00111E00">
        <w:t xml:space="preserve"> </w:t>
      </w:r>
      <w:r w:rsidR="007563CA">
        <w:t>bending stress</w:t>
      </w:r>
      <w:r w:rsidR="00111E00">
        <w:t>.</w:t>
      </w:r>
      <w:bookmarkEnd w:id="2"/>
      <w:r w:rsidR="00A65CB6">
        <w:t xml:space="preserve"> The</w:t>
      </w:r>
      <w:r w:rsidR="002A1F04">
        <w:t xml:space="preserve"> </w:t>
      </w:r>
      <w:r w:rsidR="00111E00">
        <w:t xml:space="preserve">67nt nucleotides of </w:t>
      </w:r>
      <w:r w:rsidR="00A65CB6">
        <w:t xml:space="preserve">the </w:t>
      </w:r>
      <w:r w:rsidR="00111E00">
        <w:t xml:space="preserve">scaffold DNA </w:t>
      </w:r>
      <w:r w:rsidR="00C44552">
        <w:t xml:space="preserve">form </w:t>
      </w:r>
      <w:r w:rsidR="00A65CB6">
        <w:t>a</w:t>
      </w:r>
      <w:r w:rsidR="00C44552">
        <w:t xml:space="preserve"> bottom ring</w:t>
      </w:r>
      <w:r w:rsidR="00A65CB6">
        <w:t xml:space="preserve"> that</w:t>
      </w:r>
      <w:r w:rsidR="00111E00">
        <w:t xml:space="preserve"> can </w:t>
      </w:r>
      <w:r w:rsidR="00C44552">
        <w:t xml:space="preserve">be used </w:t>
      </w:r>
      <w:r w:rsidR="00A65CB6">
        <w:t xml:space="preserve">to define the bottom </w:t>
      </w:r>
      <w:r w:rsidR="002E71E4">
        <w:t>subunit of DNA nanopores</w:t>
      </w:r>
      <w:r w:rsidR="00111E00" w:rsidRPr="00111E00">
        <w:rPr>
          <w:rFonts w:cs="Times New Roman"/>
        </w:rPr>
        <w:t xml:space="preserve">. </w:t>
      </w:r>
      <w:r w:rsidR="002A1F04">
        <w:t xml:space="preserve">Staple strands with different functions are marked in gray, purple, </w:t>
      </w:r>
      <w:r w:rsidR="00481BDD">
        <w:t xml:space="preserve">and </w:t>
      </w:r>
      <w:r w:rsidR="002A1F04">
        <w:t>green, respectively. The staple strands utilized to assemble the main structures are gray. The staple strands utilized to capture Cy3 strands are green. The staple strands applied to hybridize cholesterol strands are purple.</w:t>
      </w:r>
      <w:r w:rsidR="00481BDD" w:rsidRPr="00481BDD">
        <w:t xml:space="preserve"> </w:t>
      </w:r>
      <w:r w:rsidR="00481BDD">
        <w:t>All oligonucleotide sequences of staple strands are includ</w:t>
      </w:r>
      <w:r w:rsidR="00481BDD">
        <w:rPr>
          <w:color w:val="000000" w:themeColor="text1"/>
        </w:rPr>
        <w:t>ed in Supplementary Data 1.</w:t>
      </w:r>
    </w:p>
    <w:p w14:paraId="41A2C928" w14:textId="77777777" w:rsidR="002A1F04" w:rsidRDefault="002A1F04" w:rsidP="002A1F04">
      <w:pPr>
        <w:widowControl/>
        <w:spacing w:line="360" w:lineRule="auto"/>
      </w:pPr>
      <w:r>
        <w:rPr>
          <w:kern w:val="0"/>
        </w:rPr>
        <w:br w:type="page"/>
      </w:r>
    </w:p>
    <w:p w14:paraId="08C87F79" w14:textId="0307005C" w:rsidR="00481BDD" w:rsidRPr="00DE1CD3" w:rsidRDefault="0086451E" w:rsidP="00481BDD">
      <w:pPr>
        <w:widowControl/>
        <w:spacing w:line="360" w:lineRule="auto"/>
        <w:rPr>
          <w:color w:val="000000" w:themeColor="text1"/>
        </w:rPr>
      </w:pPr>
      <w:r>
        <w:rPr>
          <w:b/>
          <w:bCs/>
          <w:noProof/>
        </w:rPr>
        <w:lastRenderedPageBreak/>
        <w:drawing>
          <wp:anchor distT="0" distB="0" distL="114300" distR="114300" simplePos="0" relativeHeight="251678208" behindDoc="0" locked="0" layoutInCell="1" allowOverlap="1" wp14:anchorId="74B499CD" wp14:editId="63DAF4DD">
            <wp:simplePos x="0" y="0"/>
            <wp:positionH relativeFrom="column">
              <wp:posOffset>0</wp:posOffset>
            </wp:positionH>
            <wp:positionV relativeFrom="paragraph">
              <wp:posOffset>0</wp:posOffset>
            </wp:positionV>
            <wp:extent cx="5274310" cy="3168015"/>
            <wp:effectExtent l="0" t="0" r="254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168015"/>
                    </a:xfrm>
                    <a:prstGeom prst="rect">
                      <a:avLst/>
                    </a:prstGeom>
                  </pic:spPr>
                </pic:pic>
              </a:graphicData>
            </a:graphic>
          </wp:anchor>
        </w:drawing>
      </w:r>
      <w:r w:rsidR="002A1F04">
        <w:rPr>
          <w:b/>
          <w:bCs/>
        </w:rPr>
        <w:t>Supplementary Fig. 2</w:t>
      </w:r>
      <w:r w:rsidR="002A1F04">
        <w:t xml:space="preserve"> Toehold-mediated strand displacement reactions dominate the </w:t>
      </w:r>
      <w:r w:rsidR="00E12EE3">
        <w:rPr>
          <w:rFonts w:hint="eastAsia"/>
        </w:rPr>
        <w:t>dy</w:t>
      </w:r>
      <w:r w:rsidR="00E12EE3">
        <w:t xml:space="preserve">namic </w:t>
      </w:r>
      <w:r w:rsidR="002A1F04">
        <w:t xml:space="preserve">switching of </w:t>
      </w:r>
      <w:r w:rsidR="00152AC9">
        <w:t xml:space="preserve">the </w:t>
      </w:r>
      <w:r w:rsidR="00E12EE3">
        <w:t>triangular</w:t>
      </w:r>
      <w:r w:rsidR="00152AC9">
        <w:t xml:space="preserve"> DNA nanopore</w:t>
      </w:r>
      <w:r w:rsidR="002A1F04">
        <w:t>.</w:t>
      </w:r>
      <w:r w:rsidR="0004473D">
        <w:t xml:space="preserve"> </w:t>
      </w:r>
      <w:r w:rsidR="0004473D" w:rsidRPr="0004473D">
        <w:rPr>
          <w:b/>
          <w:bCs/>
        </w:rPr>
        <w:t>a</w:t>
      </w:r>
      <w:r w:rsidR="0004473D">
        <w:t xml:space="preserve">, </w:t>
      </w:r>
      <w:r w:rsidR="00F008FB">
        <w:t>T</w:t>
      </w:r>
      <w:r w:rsidR="00EF4223">
        <w:t>riggers</w:t>
      </w:r>
      <w:r w:rsidR="00F008FB">
        <w:t xml:space="preserve"> are introduced to</w:t>
      </w:r>
      <w:r w:rsidR="002A1F04">
        <w:t xml:space="preserve"> </w:t>
      </w:r>
      <w:r w:rsidR="00EF4223">
        <w:t xml:space="preserve">pinch the three </w:t>
      </w:r>
      <w:r w:rsidR="005B6DDD">
        <w:t>corners</w:t>
      </w:r>
      <w:r w:rsidR="00152AC9">
        <w:t xml:space="preserve"> of </w:t>
      </w:r>
      <w:r w:rsidR="00E12EE3">
        <w:t xml:space="preserve">the </w:t>
      </w:r>
      <w:r w:rsidR="006C78A9">
        <w:t>triangular</w:t>
      </w:r>
      <w:r w:rsidR="00152AC9">
        <w:t xml:space="preserve"> DNA nanopore</w:t>
      </w:r>
      <w:r w:rsidR="00EF4223">
        <w:t xml:space="preserve">, </w:t>
      </w:r>
      <w:r w:rsidR="00F008FB">
        <w:t>enabling</w:t>
      </w:r>
      <w:r w:rsidR="00EF4223">
        <w:t xml:space="preserve"> the </w:t>
      </w:r>
      <w:r w:rsidR="00E86C68">
        <w:t>mechanical transition</w:t>
      </w:r>
      <w:r w:rsidR="00EF4223">
        <w:t xml:space="preserve"> from </w:t>
      </w:r>
      <w:r w:rsidR="005B6DDD">
        <w:t xml:space="preserve">the </w:t>
      </w:r>
      <w:r w:rsidR="00EF4223">
        <w:t xml:space="preserve">expanded state to </w:t>
      </w:r>
      <w:r w:rsidR="005B6DDD">
        <w:t xml:space="preserve">the </w:t>
      </w:r>
      <w:r w:rsidR="00EF4223">
        <w:t xml:space="preserve">contracted state. </w:t>
      </w:r>
      <w:r w:rsidR="002A1F04">
        <w:t xml:space="preserve">The green rectangles represent the toehold domains for sensing triggers. </w:t>
      </w:r>
      <w:r w:rsidR="002A1F04">
        <w:rPr>
          <w:b/>
          <w:bCs/>
        </w:rPr>
        <w:t>b</w:t>
      </w:r>
      <w:r w:rsidR="002A1F04">
        <w:t xml:space="preserve">, With the participation of reverse triggers, the </w:t>
      </w:r>
      <w:r w:rsidR="00B71F2E">
        <w:t xml:space="preserve">three </w:t>
      </w:r>
      <w:r w:rsidR="00FD702C">
        <w:t xml:space="preserve">pinched </w:t>
      </w:r>
      <w:r w:rsidR="00B71F2E">
        <w:t>corners of</w:t>
      </w:r>
      <w:r w:rsidR="00B71F2E" w:rsidRPr="00B71F2E">
        <w:t xml:space="preserve"> </w:t>
      </w:r>
      <w:r w:rsidR="00E12EE3">
        <w:t xml:space="preserve">the </w:t>
      </w:r>
      <w:r w:rsidR="00B71F2E">
        <w:t>triangular DNA nanopore can be released</w:t>
      </w:r>
      <w:r w:rsidR="0032250B">
        <w:t xml:space="preserve">, </w:t>
      </w:r>
      <w:r w:rsidR="00183DAA">
        <w:t>resulting in</w:t>
      </w:r>
      <w:r w:rsidR="00F008FB">
        <w:t xml:space="preserve"> </w:t>
      </w:r>
      <w:r w:rsidR="0032250B">
        <w:t xml:space="preserve">the </w:t>
      </w:r>
      <w:r w:rsidR="00E86C68">
        <w:t>mechanical transition</w:t>
      </w:r>
      <w:r w:rsidR="00DE1CD3">
        <w:t xml:space="preserve"> from </w:t>
      </w:r>
      <w:r w:rsidR="005B6DDD">
        <w:t xml:space="preserve">the </w:t>
      </w:r>
      <w:r w:rsidR="00DE1CD3">
        <w:t xml:space="preserve">contracted state to </w:t>
      </w:r>
      <w:r w:rsidR="005B6DDD">
        <w:t xml:space="preserve">the </w:t>
      </w:r>
      <w:r w:rsidR="00DE1CD3">
        <w:t xml:space="preserve">expanded state. </w:t>
      </w:r>
      <w:r w:rsidR="002A1F04">
        <w:t>The toehold domains used to recognize reverse triggers are indicated by green rectangles. All oligonucleotide sequences of triggers and reverse triggers are includ</w:t>
      </w:r>
      <w:r w:rsidR="002A1F04">
        <w:rPr>
          <w:color w:val="000000" w:themeColor="text1"/>
        </w:rPr>
        <w:t>ed in Supplementary Data 1.</w:t>
      </w:r>
    </w:p>
    <w:p w14:paraId="6B01B9A3" w14:textId="77777777" w:rsidR="002A1F04" w:rsidRDefault="002A1F04" w:rsidP="002A1F04">
      <w:pPr>
        <w:widowControl/>
        <w:spacing w:line="360" w:lineRule="auto"/>
      </w:pPr>
      <w:r>
        <w:rPr>
          <w:kern w:val="0"/>
        </w:rPr>
        <w:br w:type="page"/>
      </w:r>
    </w:p>
    <w:p w14:paraId="3C3BA38B" w14:textId="7BD38126" w:rsidR="002A1F04" w:rsidRDefault="0086451E" w:rsidP="002A1F04">
      <w:pPr>
        <w:widowControl/>
        <w:spacing w:line="360" w:lineRule="auto"/>
      </w:pPr>
      <w:r>
        <w:rPr>
          <w:b/>
          <w:bCs/>
          <w:noProof/>
        </w:rPr>
        <w:lastRenderedPageBreak/>
        <w:drawing>
          <wp:anchor distT="0" distB="0" distL="114300" distR="114300" simplePos="0" relativeHeight="251679232" behindDoc="0" locked="0" layoutInCell="1" allowOverlap="1" wp14:anchorId="24D9910E" wp14:editId="2A2832B5">
            <wp:simplePos x="0" y="0"/>
            <wp:positionH relativeFrom="column">
              <wp:posOffset>0</wp:posOffset>
            </wp:positionH>
            <wp:positionV relativeFrom="paragraph">
              <wp:posOffset>0</wp:posOffset>
            </wp:positionV>
            <wp:extent cx="5274310" cy="1604645"/>
            <wp:effectExtent l="0" t="0" r="2540" b="0"/>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604645"/>
                    </a:xfrm>
                    <a:prstGeom prst="rect">
                      <a:avLst/>
                    </a:prstGeom>
                  </pic:spPr>
                </pic:pic>
              </a:graphicData>
            </a:graphic>
          </wp:anchor>
        </w:drawing>
      </w:r>
      <w:r w:rsidR="002A1F04">
        <w:rPr>
          <w:b/>
          <w:bCs/>
        </w:rPr>
        <w:t xml:space="preserve">Supplementary Fig. 3 </w:t>
      </w:r>
      <w:r w:rsidR="002A1F04">
        <w:t xml:space="preserve">Gel electrophoresis characterization of </w:t>
      </w:r>
      <w:r w:rsidR="00532D08">
        <w:t>synthetic</w:t>
      </w:r>
      <w:r w:rsidR="002A1F04">
        <w:t xml:space="preserve"> DNA nanopores. </w:t>
      </w:r>
      <w:r w:rsidR="002A1F04">
        <w:rPr>
          <w:b/>
          <w:bCs/>
        </w:rPr>
        <w:t>a</w:t>
      </w:r>
      <w:r w:rsidR="002A1F04">
        <w:t>, Various DNA nanopore samples were subjected to 1.0% agarose gel electrophoresis before and after filtration. The dashed rectangle refe</w:t>
      </w:r>
      <w:r w:rsidR="00E12EE3">
        <w:t>r</w:t>
      </w:r>
      <w:r w:rsidR="002A1F04">
        <w:t>r</w:t>
      </w:r>
      <w:r w:rsidR="00E12EE3">
        <w:t>ed</w:t>
      </w:r>
      <w:r w:rsidR="002A1F04">
        <w:t xml:space="preserve"> to the excess staple strands. </w:t>
      </w:r>
      <w:r w:rsidR="002A1F04">
        <w:rPr>
          <w:b/>
          <w:bCs/>
        </w:rPr>
        <w:t>b</w:t>
      </w:r>
      <w:r w:rsidR="002A1F04">
        <w:t>, Comparative analysis of the mobility and signal intensity of the different bands measured from Supplementary Fig. 3a.</w:t>
      </w:r>
    </w:p>
    <w:p w14:paraId="404233FE" w14:textId="0B14A077" w:rsidR="002A1F04" w:rsidRDefault="002A1F04" w:rsidP="002A1F04">
      <w:pPr>
        <w:widowControl/>
        <w:spacing w:line="360" w:lineRule="auto"/>
      </w:pPr>
      <w:r>
        <w:rPr>
          <w:kern w:val="0"/>
        </w:rPr>
        <w:br w:type="page"/>
      </w:r>
    </w:p>
    <w:p w14:paraId="46D18066" w14:textId="5C4D8C7A" w:rsidR="002A1F04" w:rsidRDefault="007A3817" w:rsidP="002A1F04">
      <w:pPr>
        <w:spacing w:line="360" w:lineRule="auto"/>
      </w:pPr>
      <w:r>
        <w:rPr>
          <w:b/>
          <w:bCs/>
          <w:noProof/>
        </w:rPr>
        <w:lastRenderedPageBreak/>
        <w:drawing>
          <wp:anchor distT="0" distB="0" distL="114300" distR="114300" simplePos="0" relativeHeight="251680256" behindDoc="0" locked="0" layoutInCell="1" allowOverlap="1" wp14:anchorId="6F43BB5E" wp14:editId="24531CD8">
            <wp:simplePos x="0" y="0"/>
            <wp:positionH relativeFrom="margin">
              <wp:align>center</wp:align>
            </wp:positionH>
            <wp:positionV relativeFrom="paragraph">
              <wp:posOffset>0</wp:posOffset>
            </wp:positionV>
            <wp:extent cx="2157984" cy="1775460"/>
            <wp:effectExtent l="0" t="0" r="0" b="0"/>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7984" cy="1775460"/>
                    </a:xfrm>
                    <a:prstGeom prst="rect">
                      <a:avLst/>
                    </a:prstGeom>
                  </pic:spPr>
                </pic:pic>
              </a:graphicData>
            </a:graphic>
          </wp:anchor>
        </w:drawing>
      </w:r>
      <w:r w:rsidR="002A1F04">
        <w:rPr>
          <w:b/>
          <w:bCs/>
        </w:rPr>
        <w:t xml:space="preserve">Supplementary Fig. </w:t>
      </w:r>
      <w:r w:rsidR="00FE5E8B">
        <w:rPr>
          <w:b/>
          <w:bCs/>
        </w:rPr>
        <w:t>4</w:t>
      </w:r>
      <w:r w:rsidR="002A1F04">
        <w:t xml:space="preserve"> Gel electrophoresis analysis of DNA nanopores before (lane 1, lane 2) and after (lane 4, lane 5) cholesterol strands treatment. Upshifted bands can be observed in lanes 4 and 5, indicating that DNP-E and DNP-C have been successfully tagged with cholesterol</w:t>
      </w:r>
      <w:r w:rsidR="00E12EE3">
        <w:t xml:space="preserve"> mo</w:t>
      </w:r>
      <w:r w:rsidR="00E86C68">
        <w:t>ieties</w:t>
      </w:r>
      <w:r w:rsidR="002A1F04">
        <w:t>.</w:t>
      </w:r>
    </w:p>
    <w:p w14:paraId="66882756" w14:textId="77777777" w:rsidR="002A1F04" w:rsidRDefault="002A1F04" w:rsidP="002A1F04">
      <w:pPr>
        <w:widowControl/>
        <w:spacing w:line="360" w:lineRule="auto"/>
      </w:pPr>
      <w:r>
        <w:rPr>
          <w:kern w:val="0"/>
        </w:rPr>
        <w:br w:type="page"/>
      </w:r>
    </w:p>
    <w:p w14:paraId="105A029C" w14:textId="425CA024" w:rsidR="002A1F04" w:rsidRDefault="007A3817" w:rsidP="002A1F04">
      <w:pPr>
        <w:spacing w:line="360" w:lineRule="auto"/>
      </w:pPr>
      <w:r>
        <w:rPr>
          <w:b/>
          <w:bCs/>
          <w:noProof/>
        </w:rPr>
        <w:lastRenderedPageBreak/>
        <w:drawing>
          <wp:anchor distT="0" distB="0" distL="114300" distR="114300" simplePos="0" relativeHeight="251681280" behindDoc="0" locked="0" layoutInCell="1" allowOverlap="1" wp14:anchorId="07590CC3" wp14:editId="4530B1E7">
            <wp:simplePos x="0" y="0"/>
            <wp:positionH relativeFrom="column">
              <wp:posOffset>0</wp:posOffset>
            </wp:positionH>
            <wp:positionV relativeFrom="paragraph">
              <wp:posOffset>0</wp:posOffset>
            </wp:positionV>
            <wp:extent cx="5274310" cy="1395730"/>
            <wp:effectExtent l="0" t="0" r="2540" b="0"/>
            <wp:wrapTopAndBottom/>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395730"/>
                    </a:xfrm>
                    <a:prstGeom prst="rect">
                      <a:avLst/>
                    </a:prstGeom>
                  </pic:spPr>
                </pic:pic>
              </a:graphicData>
            </a:graphic>
          </wp:anchor>
        </w:drawing>
      </w:r>
      <w:r w:rsidR="002A1F04">
        <w:rPr>
          <w:b/>
          <w:bCs/>
        </w:rPr>
        <w:t xml:space="preserve">Supplementary Fig. </w:t>
      </w:r>
      <w:r w:rsidR="00FE5E8B">
        <w:rPr>
          <w:b/>
          <w:bCs/>
        </w:rPr>
        <w:t>5</w:t>
      </w:r>
      <w:r w:rsidR="002A1F04">
        <w:t xml:space="preserve"> Interaction between cholesterol-tagged DNA nanopores and lipid vesicles. </w:t>
      </w:r>
      <w:r w:rsidR="002A1F04">
        <w:rPr>
          <w:b/>
          <w:bCs/>
        </w:rPr>
        <w:t>a</w:t>
      </w:r>
      <w:r w:rsidR="002A1F04">
        <w:t xml:space="preserve">, Size distribution of small </w:t>
      </w:r>
      <w:proofErr w:type="spellStart"/>
      <w:r w:rsidR="002A1F04">
        <w:t>unilamellar</w:t>
      </w:r>
      <w:proofErr w:type="spellEnd"/>
      <w:r w:rsidR="002A1F04">
        <w:t xml:space="preserve"> vesicles (SUVs) was measured by a Malvern analyzer. </w:t>
      </w:r>
      <w:r w:rsidR="002A1F04">
        <w:rPr>
          <w:b/>
          <w:bCs/>
        </w:rPr>
        <w:t>b</w:t>
      </w:r>
      <w:r w:rsidR="002A1F04">
        <w:t xml:space="preserve">, Interaction between DNP-C and SUVs was analyzed by 1.5% agarose gel electrophoresis at different lipid concentrations. The lipid concentrations of SUV in lanes 1-5 were 0 </w:t>
      </w:r>
      <w:proofErr w:type="spellStart"/>
      <w:r w:rsidR="002A1F04">
        <w:t>nM</w:t>
      </w:r>
      <w:proofErr w:type="spellEnd"/>
      <w:r w:rsidR="002A1F04">
        <w:t xml:space="preserve">, 5 </w:t>
      </w:r>
      <w:proofErr w:type="spellStart"/>
      <w:r w:rsidR="002A1F04">
        <w:t>nM</w:t>
      </w:r>
      <w:proofErr w:type="spellEnd"/>
      <w:r w:rsidR="002A1F04">
        <w:t xml:space="preserve">, 10 </w:t>
      </w:r>
      <w:proofErr w:type="spellStart"/>
      <w:r w:rsidR="002A1F04">
        <w:t>nM</w:t>
      </w:r>
      <w:proofErr w:type="spellEnd"/>
      <w:r w:rsidR="002A1F04">
        <w:t xml:space="preserve">, 20 </w:t>
      </w:r>
      <w:proofErr w:type="spellStart"/>
      <w:r w:rsidR="002A1F04">
        <w:t>nM</w:t>
      </w:r>
      <w:proofErr w:type="spellEnd"/>
      <w:r w:rsidR="002A1F04">
        <w:t xml:space="preserve">, and 40 </w:t>
      </w:r>
      <w:proofErr w:type="spellStart"/>
      <w:r w:rsidR="002A1F04">
        <w:t>nM</w:t>
      </w:r>
      <w:proofErr w:type="spellEnd"/>
      <w:r w:rsidR="002A1F04">
        <w:t xml:space="preserve">, respectively. </w:t>
      </w:r>
      <w:r w:rsidR="002A1F04">
        <w:rPr>
          <w:b/>
          <w:bCs/>
        </w:rPr>
        <w:t>c</w:t>
      </w:r>
      <w:r w:rsidR="002A1F04">
        <w:t>, Statistical analysis of the gel electrophoresis results of DNP-C bound to SUVs with different lipid concentrations. All gray values measured from other lanes were normalized to Lane 1. Error bars point to the standard deviation of the mean grayscale counted from three independent experiments. The shaded bands around the Gaussian fit curves represent</w:t>
      </w:r>
      <w:r w:rsidR="00E86C68">
        <w:t>ed</w:t>
      </w:r>
      <w:r w:rsidR="002A1F04">
        <w:t xml:space="preserve"> the respective 95% confidence regions.</w:t>
      </w:r>
    </w:p>
    <w:p w14:paraId="6822D184" w14:textId="77777777" w:rsidR="002A1F04" w:rsidRDefault="002A1F04" w:rsidP="002A1F04">
      <w:pPr>
        <w:widowControl/>
        <w:spacing w:line="360" w:lineRule="auto"/>
      </w:pPr>
      <w:r>
        <w:rPr>
          <w:kern w:val="0"/>
        </w:rPr>
        <w:br w:type="page"/>
      </w:r>
    </w:p>
    <w:p w14:paraId="1ACCB3A9" w14:textId="7678679B" w:rsidR="002A1F04" w:rsidRDefault="007A3817" w:rsidP="002A1F04">
      <w:pPr>
        <w:widowControl/>
        <w:spacing w:line="360" w:lineRule="auto"/>
      </w:pPr>
      <w:r>
        <w:rPr>
          <w:b/>
          <w:bCs/>
          <w:noProof/>
        </w:rPr>
        <w:lastRenderedPageBreak/>
        <w:drawing>
          <wp:anchor distT="0" distB="0" distL="114300" distR="114300" simplePos="0" relativeHeight="251682304" behindDoc="0" locked="0" layoutInCell="1" allowOverlap="1" wp14:anchorId="360BC812" wp14:editId="34CC057C">
            <wp:simplePos x="0" y="0"/>
            <wp:positionH relativeFrom="margin">
              <wp:align>center</wp:align>
            </wp:positionH>
            <wp:positionV relativeFrom="paragraph">
              <wp:posOffset>0</wp:posOffset>
            </wp:positionV>
            <wp:extent cx="4320540" cy="3131820"/>
            <wp:effectExtent l="0" t="0" r="3810"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20540" cy="3131820"/>
                    </a:xfrm>
                    <a:prstGeom prst="rect">
                      <a:avLst/>
                    </a:prstGeom>
                  </pic:spPr>
                </pic:pic>
              </a:graphicData>
            </a:graphic>
          </wp:anchor>
        </w:drawing>
      </w:r>
      <w:r w:rsidR="002A1F04">
        <w:rPr>
          <w:b/>
          <w:bCs/>
        </w:rPr>
        <w:t xml:space="preserve">Supplementary Fig. </w:t>
      </w:r>
      <w:r w:rsidR="00FE5E8B">
        <w:rPr>
          <w:b/>
          <w:bCs/>
        </w:rPr>
        <w:t>6</w:t>
      </w:r>
      <w:r w:rsidR="002A1F04">
        <w:t xml:space="preserve"> </w:t>
      </w:r>
      <w:r w:rsidR="00532D08">
        <w:t>Synthetic</w:t>
      </w:r>
      <w:r w:rsidR="002A1F04">
        <w:t xml:space="preserve"> DNA nanopores in different states </w:t>
      </w:r>
      <w:r w:rsidR="00E12EE3">
        <w:t>were</w:t>
      </w:r>
      <w:r w:rsidR="002A1F04">
        <w:t xml:space="preserve"> unable to puncture lipid membranes without cholesterol modifications. Schematics illustrate</w:t>
      </w:r>
      <w:r w:rsidR="00E86C68">
        <w:t>d</w:t>
      </w:r>
      <w:r w:rsidR="002A1F04">
        <w:t xml:space="preserve"> the inability of unmodified DNP-C (</w:t>
      </w:r>
      <w:r w:rsidR="002A1F04">
        <w:rPr>
          <w:b/>
          <w:bCs/>
        </w:rPr>
        <w:t>a</w:t>
      </w:r>
      <w:r w:rsidR="002A1F04">
        <w:t>) and DNP-E (</w:t>
      </w:r>
      <w:r w:rsidR="002A1F04">
        <w:rPr>
          <w:b/>
          <w:bCs/>
        </w:rPr>
        <w:t>c</w:t>
      </w:r>
      <w:r w:rsidR="002A1F04">
        <w:t>) to insert into planar lipid bilayers. Typical current traces were recorded after the addition of unmodified DNP-C (</w:t>
      </w:r>
      <w:r w:rsidR="002A1F04">
        <w:rPr>
          <w:b/>
          <w:bCs/>
        </w:rPr>
        <w:t>b</w:t>
      </w:r>
      <w:r w:rsidR="002A1F04">
        <w:t>) and DNP-E (</w:t>
      </w:r>
      <w:r w:rsidR="002A1F04">
        <w:rPr>
          <w:b/>
          <w:bCs/>
        </w:rPr>
        <w:t>d</w:t>
      </w:r>
      <w:r w:rsidR="002A1F04">
        <w:t>) at a constant voltage of +80 mV.</w:t>
      </w:r>
    </w:p>
    <w:p w14:paraId="3A1513CA" w14:textId="77777777" w:rsidR="002A1F04" w:rsidRDefault="002A1F04" w:rsidP="002A1F04">
      <w:pPr>
        <w:widowControl/>
        <w:spacing w:line="360" w:lineRule="auto"/>
      </w:pPr>
      <w:r>
        <w:rPr>
          <w:kern w:val="0"/>
        </w:rPr>
        <w:br w:type="page"/>
      </w:r>
    </w:p>
    <w:p w14:paraId="55A50B77" w14:textId="665EF91C" w:rsidR="002A1F04" w:rsidRDefault="007A3817" w:rsidP="002A1F04">
      <w:pPr>
        <w:widowControl/>
        <w:spacing w:line="360" w:lineRule="auto"/>
        <w:rPr>
          <w:rFonts w:cs="Times New Roman"/>
        </w:rPr>
      </w:pPr>
      <w:r>
        <w:rPr>
          <w:b/>
          <w:bCs/>
          <w:noProof/>
        </w:rPr>
        <w:lastRenderedPageBreak/>
        <w:drawing>
          <wp:anchor distT="0" distB="0" distL="114300" distR="114300" simplePos="0" relativeHeight="251683328" behindDoc="0" locked="0" layoutInCell="1" allowOverlap="1" wp14:anchorId="06CDA75A" wp14:editId="614835F1">
            <wp:simplePos x="0" y="0"/>
            <wp:positionH relativeFrom="margin">
              <wp:align>center</wp:align>
            </wp:positionH>
            <wp:positionV relativeFrom="paragraph">
              <wp:posOffset>0</wp:posOffset>
            </wp:positionV>
            <wp:extent cx="4317492" cy="3014472"/>
            <wp:effectExtent l="0" t="0" r="6985" b="0"/>
            <wp:wrapTopAndBottom/>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17492" cy="3014472"/>
                    </a:xfrm>
                    <a:prstGeom prst="rect">
                      <a:avLst/>
                    </a:prstGeom>
                  </pic:spPr>
                </pic:pic>
              </a:graphicData>
            </a:graphic>
          </wp:anchor>
        </w:drawing>
      </w:r>
      <w:r w:rsidR="002A1F04">
        <w:rPr>
          <w:b/>
          <w:bCs/>
        </w:rPr>
        <w:t xml:space="preserve">Supplementary Fig. </w:t>
      </w:r>
      <w:r w:rsidR="00FE5E8B">
        <w:rPr>
          <w:b/>
          <w:bCs/>
        </w:rPr>
        <w:t>7</w:t>
      </w:r>
      <w:r w:rsidR="002A1F04">
        <w:rPr>
          <w:b/>
          <w:bCs/>
        </w:rPr>
        <w:t xml:space="preserve"> </w:t>
      </w:r>
      <w:r w:rsidR="002A1F04">
        <w:t>Electrical conductivity of cholesterol-tagged DNA nanopores with different lumens. Schematic diagrams illustrate</w:t>
      </w:r>
      <w:r w:rsidR="00E86C68">
        <w:t>d</w:t>
      </w:r>
      <w:r w:rsidR="002A1F04">
        <w:t xml:space="preserve"> the varying lumen sizes of DNP-C (</w:t>
      </w:r>
      <w:r w:rsidR="002A1F04">
        <w:rPr>
          <w:b/>
          <w:bCs/>
        </w:rPr>
        <w:t>a</w:t>
      </w:r>
      <w:r w:rsidR="002A1F04">
        <w:t>) and DNP-E (</w:t>
      </w:r>
      <w:r w:rsidR="002A1F04">
        <w:rPr>
          <w:b/>
          <w:bCs/>
        </w:rPr>
        <w:t>b</w:t>
      </w:r>
      <w:r w:rsidR="002A1F04">
        <w:t>), which enable electrolyte ions with different intensities to pass through the lipid bilayer. Current traces for DNP-C (</w:t>
      </w:r>
      <w:r w:rsidR="002A1F04">
        <w:rPr>
          <w:b/>
          <w:bCs/>
        </w:rPr>
        <w:t>c</w:t>
      </w:r>
      <w:r w:rsidR="002A1F04">
        <w:t>) and DNP-E (</w:t>
      </w:r>
      <w:r w:rsidR="002A1F04">
        <w:rPr>
          <w:b/>
          <w:bCs/>
        </w:rPr>
        <w:t>d</w:t>
      </w:r>
      <w:r w:rsidR="002A1F04">
        <w:t>) were recorded fr</w:t>
      </w:r>
      <w:r w:rsidR="002A1F04">
        <w:rPr>
          <w:rFonts w:cs="Times New Roman"/>
        </w:rPr>
        <w:t>om -100 mV to +100 mV i</w:t>
      </w:r>
      <w:r w:rsidR="002A1F04">
        <w:t xml:space="preserve">n 20 mV voltage steps. The data of the current-voltage plots </w:t>
      </w:r>
      <w:r w:rsidR="00E86C68">
        <w:t>were</w:t>
      </w:r>
      <w:r w:rsidR="002A1F04">
        <w:t xml:space="preserve"> expressed as mean </w:t>
      </w:r>
      <w:r w:rsidR="002A1F04">
        <w:rPr>
          <w:rFonts w:cs="Times New Roman"/>
        </w:rPr>
        <w:t xml:space="preserve">± SD. </w:t>
      </w:r>
    </w:p>
    <w:p w14:paraId="7D2A360F" w14:textId="65B25934" w:rsidR="002A1F04" w:rsidRPr="00F40BB2" w:rsidRDefault="002A1F04" w:rsidP="00F40BB2">
      <w:pPr>
        <w:widowControl/>
        <w:spacing w:line="360" w:lineRule="auto"/>
        <w:jc w:val="left"/>
        <w:rPr>
          <w:rFonts w:cs="Times New Roman"/>
        </w:rPr>
      </w:pPr>
      <w:r>
        <w:rPr>
          <w:rFonts w:cs="Times New Roman"/>
          <w:kern w:val="0"/>
        </w:rPr>
        <w:br w:type="page"/>
      </w:r>
    </w:p>
    <w:p w14:paraId="5768DF39" w14:textId="30A984D6" w:rsidR="002A1F04" w:rsidRDefault="007A3817" w:rsidP="002A1F04">
      <w:pPr>
        <w:widowControl/>
        <w:spacing w:line="360" w:lineRule="auto"/>
      </w:pPr>
      <w:r>
        <w:rPr>
          <w:b/>
          <w:bCs/>
          <w:noProof/>
        </w:rPr>
        <w:lastRenderedPageBreak/>
        <w:drawing>
          <wp:anchor distT="0" distB="0" distL="114300" distR="114300" simplePos="0" relativeHeight="251685376" behindDoc="0" locked="0" layoutInCell="1" allowOverlap="1" wp14:anchorId="631475B0" wp14:editId="3290235E">
            <wp:simplePos x="0" y="0"/>
            <wp:positionH relativeFrom="margin">
              <wp:align>center</wp:align>
            </wp:positionH>
            <wp:positionV relativeFrom="paragraph">
              <wp:posOffset>0</wp:posOffset>
            </wp:positionV>
            <wp:extent cx="4314444" cy="2971800"/>
            <wp:effectExtent l="0" t="0" r="0" b="0"/>
            <wp:wrapTopAndBottom/>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14444" cy="2971800"/>
                    </a:xfrm>
                    <a:prstGeom prst="rect">
                      <a:avLst/>
                    </a:prstGeom>
                  </pic:spPr>
                </pic:pic>
              </a:graphicData>
            </a:graphic>
          </wp:anchor>
        </w:drawing>
      </w:r>
      <w:r w:rsidR="002A1F04">
        <w:rPr>
          <w:b/>
          <w:bCs/>
        </w:rPr>
        <w:t xml:space="preserve">Supplementary Fig. </w:t>
      </w:r>
      <w:r w:rsidR="00F40BB2">
        <w:rPr>
          <w:b/>
          <w:bCs/>
        </w:rPr>
        <w:t>8</w:t>
      </w:r>
      <w:r w:rsidR="002A1F04">
        <w:t xml:space="preserve"> </w:t>
      </w:r>
      <w:bookmarkStart w:id="4" w:name="OLE_LINK29"/>
      <w:bookmarkStart w:id="5" w:name="OLE_LINK30"/>
      <w:r w:rsidR="00A74330">
        <w:t>The addition of r</w:t>
      </w:r>
      <w:r w:rsidR="002A1F04">
        <w:t>andom strand</w:t>
      </w:r>
      <w:r w:rsidR="00A74330">
        <w:t>s</w:t>
      </w:r>
      <w:r w:rsidR="002A1F04">
        <w:t xml:space="preserve"> does not </w:t>
      </w:r>
      <w:r w:rsidR="00A74330">
        <w:t>activate</w:t>
      </w:r>
      <w:r w:rsidR="002A1F04">
        <w:t xml:space="preserve"> </w:t>
      </w:r>
      <w:bookmarkEnd w:id="4"/>
      <w:r w:rsidR="00A74330">
        <w:t>DNP-C and DNP-E</w:t>
      </w:r>
      <w:r w:rsidR="002A1F04">
        <w:t>.</w:t>
      </w:r>
      <w:bookmarkEnd w:id="5"/>
      <w:r w:rsidR="002A1F04">
        <w:t xml:space="preserve"> </w:t>
      </w:r>
      <w:r w:rsidR="002A1F04">
        <w:rPr>
          <w:b/>
          <w:bCs/>
        </w:rPr>
        <w:t>a</w:t>
      </w:r>
      <w:r w:rsidR="002A1F04">
        <w:t>, Schematic depict</w:t>
      </w:r>
      <w:r w:rsidR="00E86C68">
        <w:t>ed</w:t>
      </w:r>
      <w:r w:rsidR="002A1F04">
        <w:t xml:space="preserve"> that the random strands </w:t>
      </w:r>
      <w:r w:rsidR="00E86C68">
        <w:t>were</w:t>
      </w:r>
      <w:r w:rsidR="002A1F04">
        <w:t xml:space="preserve"> incapable of actuating the </w:t>
      </w:r>
      <w:r w:rsidR="00E86C68">
        <w:t xml:space="preserve">bidirectional mechanical transition </w:t>
      </w:r>
      <w:r w:rsidR="002A1F04">
        <w:t xml:space="preserve">of </w:t>
      </w:r>
      <w:r w:rsidR="00E86C68">
        <w:t xml:space="preserve">the triangular </w:t>
      </w:r>
      <w:r w:rsidR="002A1F04">
        <w:t>DNA nanopore. Single-channel current analysis of the membrane-spanning DNP-C (</w:t>
      </w:r>
      <w:r w:rsidR="002A1F04">
        <w:rPr>
          <w:b/>
          <w:bCs/>
        </w:rPr>
        <w:t>b</w:t>
      </w:r>
      <w:r w:rsidR="002A1F04">
        <w:t>) and DNP-E (</w:t>
      </w:r>
      <w:r w:rsidR="002A1F04">
        <w:rPr>
          <w:b/>
          <w:bCs/>
        </w:rPr>
        <w:t>c</w:t>
      </w:r>
      <w:r w:rsidR="002A1F04">
        <w:t>) after the addition of random strands. Electrophysiological experiments were performed at a constant potential of +80 mV.</w:t>
      </w:r>
    </w:p>
    <w:p w14:paraId="63498230" w14:textId="77777777" w:rsidR="00F40BB2" w:rsidRDefault="002A1F04">
      <w:pPr>
        <w:widowControl/>
        <w:jc w:val="left"/>
        <w:rPr>
          <w:kern w:val="0"/>
        </w:rPr>
      </w:pPr>
      <w:r>
        <w:rPr>
          <w:kern w:val="0"/>
        </w:rPr>
        <w:br w:type="page"/>
      </w:r>
    </w:p>
    <w:p w14:paraId="21A150EA" w14:textId="5EE481B2" w:rsidR="00F40BB2" w:rsidRDefault="00F40BB2" w:rsidP="00F40BB2">
      <w:pPr>
        <w:widowControl/>
        <w:spacing w:line="360" w:lineRule="auto"/>
      </w:pPr>
      <w:r>
        <w:rPr>
          <w:b/>
          <w:bCs/>
          <w:noProof/>
        </w:rPr>
        <w:lastRenderedPageBreak/>
        <w:drawing>
          <wp:anchor distT="0" distB="0" distL="114300" distR="114300" simplePos="0" relativeHeight="251691520" behindDoc="0" locked="0" layoutInCell="1" allowOverlap="1" wp14:anchorId="44A9E8CA" wp14:editId="455467AC">
            <wp:simplePos x="0" y="0"/>
            <wp:positionH relativeFrom="margin">
              <wp:align>center</wp:align>
            </wp:positionH>
            <wp:positionV relativeFrom="paragraph">
              <wp:posOffset>0</wp:posOffset>
            </wp:positionV>
            <wp:extent cx="4320540" cy="1778508"/>
            <wp:effectExtent l="0" t="0" r="3810" b="0"/>
            <wp:wrapTopAndBottom/>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20540" cy="1778508"/>
                    </a:xfrm>
                    <a:prstGeom prst="rect">
                      <a:avLst/>
                    </a:prstGeom>
                  </pic:spPr>
                </pic:pic>
              </a:graphicData>
            </a:graphic>
          </wp:anchor>
        </w:drawing>
      </w:r>
      <w:r>
        <w:rPr>
          <w:b/>
          <w:bCs/>
        </w:rPr>
        <w:t xml:space="preserve">Supplementary Fig. 9 </w:t>
      </w:r>
      <w:r>
        <w:t xml:space="preserve">Statistical analyses of current signal changes of triangular DNA nanopores. </w:t>
      </w:r>
      <w:r>
        <w:rPr>
          <w:b/>
          <w:bCs/>
        </w:rPr>
        <w:t>a</w:t>
      </w:r>
      <w:r>
        <w:t xml:space="preserve">, Comparative analysis of current signals recorded by the embedded DNP-C before and after the addition of reverse triggers. </w:t>
      </w:r>
      <w:r>
        <w:rPr>
          <w:b/>
          <w:bCs/>
        </w:rPr>
        <w:t>b</w:t>
      </w:r>
      <w:r>
        <w:t>, Mean current signal changes of inserted DNP-E before and after the incubation of triggers. Each dot (circle or triangle) represent</w:t>
      </w:r>
      <w:r w:rsidR="00E86C68">
        <w:t>ed</w:t>
      </w:r>
      <w:r>
        <w:t xml:space="preserve"> the average of the current signals recorded from each independent electrophysiological experiment.</w:t>
      </w:r>
    </w:p>
    <w:p w14:paraId="6D487E9F" w14:textId="16145B02" w:rsidR="00F40BB2" w:rsidRDefault="00F40BB2">
      <w:pPr>
        <w:widowControl/>
        <w:jc w:val="left"/>
        <w:rPr>
          <w:kern w:val="0"/>
        </w:rPr>
      </w:pPr>
      <w:r>
        <w:rPr>
          <w:kern w:val="0"/>
        </w:rPr>
        <w:br w:type="page"/>
      </w:r>
    </w:p>
    <w:p w14:paraId="112E8FB4" w14:textId="4DF56C9F" w:rsidR="002A1F04" w:rsidRDefault="00F40BB2" w:rsidP="00E12EE3">
      <w:pPr>
        <w:widowControl/>
        <w:spacing w:line="360" w:lineRule="auto"/>
      </w:pPr>
      <w:r>
        <w:rPr>
          <w:b/>
          <w:bCs/>
          <w:noProof/>
        </w:rPr>
        <w:lastRenderedPageBreak/>
        <w:drawing>
          <wp:anchor distT="0" distB="0" distL="114300" distR="114300" simplePos="0" relativeHeight="251686400" behindDoc="0" locked="0" layoutInCell="1" allowOverlap="1" wp14:anchorId="2F8BDF2B" wp14:editId="5B395FB2">
            <wp:simplePos x="0" y="0"/>
            <wp:positionH relativeFrom="column">
              <wp:posOffset>0</wp:posOffset>
            </wp:positionH>
            <wp:positionV relativeFrom="paragraph">
              <wp:posOffset>607</wp:posOffset>
            </wp:positionV>
            <wp:extent cx="5274310" cy="1394460"/>
            <wp:effectExtent l="0" t="0" r="2540" b="0"/>
            <wp:wrapTopAndBottom/>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394460"/>
                    </a:xfrm>
                    <a:prstGeom prst="rect">
                      <a:avLst/>
                    </a:prstGeom>
                  </pic:spPr>
                </pic:pic>
              </a:graphicData>
            </a:graphic>
          </wp:anchor>
        </w:drawing>
      </w:r>
      <w:r w:rsidR="002A1F04">
        <w:rPr>
          <w:b/>
          <w:bCs/>
        </w:rPr>
        <w:t xml:space="preserve">Supplementary Fig. </w:t>
      </w:r>
      <w:r w:rsidR="00FE5E8B">
        <w:rPr>
          <w:b/>
          <w:bCs/>
        </w:rPr>
        <w:t>10</w:t>
      </w:r>
      <w:r w:rsidR="002A1F04">
        <w:t xml:space="preserve"> Details of the method employed to calculate the ionic current through the DNA nanopore systems. </w:t>
      </w:r>
      <w:r w:rsidR="002A1F04">
        <w:rPr>
          <w:b/>
        </w:rPr>
        <w:t>a</w:t>
      </w:r>
      <w:r w:rsidR="002A1F04">
        <w:rPr>
          <w:bCs/>
        </w:rPr>
        <w:t>,</w:t>
      </w:r>
      <w:r w:rsidR="002A1F04">
        <w:t xml:space="preserve"> Density map of the DNP-C and DNP-E embedded in the </w:t>
      </w:r>
      <w:proofErr w:type="spellStart"/>
      <w:r w:rsidR="002A1F04">
        <w:t>DPhPC</w:t>
      </w:r>
      <w:proofErr w:type="spellEnd"/>
      <w:r w:rsidR="002A1F04">
        <w:t xml:space="preserve"> lipid bilayer at a resolution of 1 Å. The Inset show</w:t>
      </w:r>
      <w:r w:rsidR="00E86C68">
        <w:t>ed</w:t>
      </w:r>
      <w:r w:rsidR="002A1F04">
        <w:t xml:space="preserve"> an all-atom representation of the </w:t>
      </w:r>
      <w:proofErr w:type="spellStart"/>
      <w:r w:rsidR="002A1F04">
        <w:t>DPhPC</w:t>
      </w:r>
      <w:proofErr w:type="spellEnd"/>
      <w:r w:rsidR="002A1F04">
        <w:t xml:space="preserve"> lipid bilayer used for </w:t>
      </w:r>
      <w:r w:rsidR="007E56F4">
        <w:t>accommodating</w:t>
      </w:r>
      <w:r w:rsidR="002A1F04">
        <w:t xml:space="preserve"> </w:t>
      </w:r>
      <w:r w:rsidR="007E56F4">
        <w:t xml:space="preserve">triangular </w:t>
      </w:r>
      <w:r w:rsidR="002A1F04">
        <w:t>DNA nanopores.</w:t>
      </w:r>
      <w:r w:rsidR="00FB010A">
        <w:t xml:space="preserve"> Scale bars: 10 nm.</w:t>
      </w:r>
      <w:r w:rsidR="002A1F04">
        <w:t xml:space="preserve"> </w:t>
      </w:r>
      <w:r w:rsidR="002A1F04">
        <w:rPr>
          <w:b/>
          <w:bCs/>
        </w:rPr>
        <w:t>b</w:t>
      </w:r>
      <w:r w:rsidR="002A1F04">
        <w:t>, Local electrolyte conductivity as a function of distance from atoms of DNA or lipids. Voxels positioned further than 1 nm from lipids or 1.5 nm from DNA exhibit bulk conductivity.</w:t>
      </w:r>
    </w:p>
    <w:p w14:paraId="69B6DF87" w14:textId="77777777" w:rsidR="002A1F04" w:rsidRDefault="002A1F04" w:rsidP="002A1F04">
      <w:pPr>
        <w:widowControl/>
        <w:spacing w:line="360" w:lineRule="auto"/>
      </w:pPr>
      <w:r>
        <w:rPr>
          <w:kern w:val="0"/>
        </w:rPr>
        <w:br w:type="page"/>
      </w:r>
    </w:p>
    <w:p w14:paraId="27AA1D6E" w14:textId="559A6761" w:rsidR="002A1F04" w:rsidRDefault="007A3817" w:rsidP="002A1F04">
      <w:pPr>
        <w:widowControl/>
        <w:spacing w:line="360" w:lineRule="auto"/>
      </w:pPr>
      <w:r>
        <w:rPr>
          <w:b/>
          <w:bCs/>
          <w:noProof/>
        </w:rPr>
        <w:lastRenderedPageBreak/>
        <w:drawing>
          <wp:anchor distT="0" distB="0" distL="114300" distR="114300" simplePos="0" relativeHeight="251687424" behindDoc="0" locked="0" layoutInCell="1" allowOverlap="1" wp14:anchorId="1F7CC4B7" wp14:editId="450117F2">
            <wp:simplePos x="0" y="0"/>
            <wp:positionH relativeFrom="margin">
              <wp:align>center</wp:align>
            </wp:positionH>
            <wp:positionV relativeFrom="paragraph">
              <wp:posOffset>0</wp:posOffset>
            </wp:positionV>
            <wp:extent cx="4297680" cy="1661160"/>
            <wp:effectExtent l="0" t="0" r="7620" b="0"/>
            <wp:wrapTopAndBottom/>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297680" cy="1661160"/>
                    </a:xfrm>
                    <a:prstGeom prst="rect">
                      <a:avLst/>
                    </a:prstGeom>
                  </pic:spPr>
                </pic:pic>
              </a:graphicData>
            </a:graphic>
          </wp:anchor>
        </w:drawing>
      </w:r>
      <w:r w:rsidR="002A1F04">
        <w:rPr>
          <w:b/>
          <w:bCs/>
        </w:rPr>
        <w:t xml:space="preserve">Supplementary Fig. </w:t>
      </w:r>
      <w:r w:rsidR="00FE5E8B">
        <w:rPr>
          <w:b/>
          <w:bCs/>
        </w:rPr>
        <w:t>11</w:t>
      </w:r>
      <w:r w:rsidR="002A1F04">
        <w:t xml:space="preserve"> Power spectrum analysis of </w:t>
      </w:r>
      <w:r w:rsidR="00080370">
        <w:t>membrane-spanning</w:t>
      </w:r>
      <w:r w:rsidR="002A1F04">
        <w:t xml:space="preserve"> DNP-C (</w:t>
      </w:r>
      <w:r w:rsidR="002A1F04">
        <w:rPr>
          <w:b/>
          <w:bCs/>
        </w:rPr>
        <w:t>a</w:t>
      </w:r>
      <w:r w:rsidR="002A1F04">
        <w:t>) and DNP-E (</w:t>
      </w:r>
      <w:r w:rsidR="002A1F04">
        <w:rPr>
          <w:b/>
          <w:bCs/>
        </w:rPr>
        <w:t>b</w:t>
      </w:r>
      <w:r w:rsidR="002A1F04">
        <w:t xml:space="preserve">) with and without trypsin treatment. All Trypsin treatments were performed at a concentration of 10 </w:t>
      </w:r>
      <w:proofErr w:type="spellStart"/>
      <w:r w:rsidR="002A1F04">
        <w:t>μM</w:t>
      </w:r>
      <w:proofErr w:type="spellEnd"/>
      <w:r w:rsidR="002A1F04">
        <w:t xml:space="preserve">. The pH of the electrophysiological buffer consisting of 1 M </w:t>
      </w:r>
      <w:proofErr w:type="spellStart"/>
      <w:r w:rsidR="002A1F04">
        <w:t>KCl</w:t>
      </w:r>
      <w:proofErr w:type="spellEnd"/>
      <w:r w:rsidR="002A1F04">
        <w:t xml:space="preserve"> and 10 mM HEPES was 7.4. </w:t>
      </w:r>
    </w:p>
    <w:p w14:paraId="29FBC33B" w14:textId="77777777" w:rsidR="002A1F04" w:rsidRDefault="002A1F04" w:rsidP="002A1F04">
      <w:pPr>
        <w:widowControl/>
        <w:spacing w:line="360" w:lineRule="auto"/>
      </w:pPr>
      <w:r>
        <w:rPr>
          <w:kern w:val="0"/>
        </w:rPr>
        <w:br w:type="page"/>
      </w:r>
    </w:p>
    <w:p w14:paraId="44AA12DC" w14:textId="7D815863" w:rsidR="009E76CC" w:rsidRPr="00E12EE3" w:rsidRDefault="00C75FA9" w:rsidP="00E12EE3">
      <w:pPr>
        <w:widowControl/>
        <w:spacing w:line="360" w:lineRule="auto"/>
        <w:rPr>
          <w:rFonts w:cs="Times New Roman"/>
        </w:rPr>
      </w:pPr>
      <w:r>
        <w:rPr>
          <w:rFonts w:cs="Times New Roman"/>
          <w:b/>
          <w:bCs/>
          <w:noProof/>
        </w:rPr>
        <w:lastRenderedPageBreak/>
        <w:drawing>
          <wp:anchor distT="0" distB="0" distL="114300" distR="114300" simplePos="0" relativeHeight="251688448" behindDoc="0" locked="0" layoutInCell="1" allowOverlap="1" wp14:anchorId="596B2C74" wp14:editId="35E0EA5F">
            <wp:simplePos x="0" y="0"/>
            <wp:positionH relativeFrom="column">
              <wp:posOffset>0</wp:posOffset>
            </wp:positionH>
            <wp:positionV relativeFrom="paragraph">
              <wp:posOffset>77</wp:posOffset>
            </wp:positionV>
            <wp:extent cx="5274310" cy="3736975"/>
            <wp:effectExtent l="0" t="0" r="2540" b="0"/>
            <wp:wrapTopAndBottom/>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3736975"/>
                    </a:xfrm>
                    <a:prstGeom prst="rect">
                      <a:avLst/>
                    </a:prstGeom>
                  </pic:spPr>
                </pic:pic>
              </a:graphicData>
            </a:graphic>
          </wp:anchor>
        </w:drawing>
      </w:r>
      <w:r w:rsidR="002A1F04">
        <w:rPr>
          <w:rFonts w:cs="Times New Roman"/>
          <w:b/>
          <w:bCs/>
        </w:rPr>
        <w:t>Supplementary Fig. 1</w:t>
      </w:r>
      <w:r w:rsidR="00FE5E8B">
        <w:rPr>
          <w:rFonts w:cs="Times New Roman"/>
          <w:b/>
          <w:bCs/>
        </w:rPr>
        <w:t>2</w:t>
      </w:r>
      <w:r w:rsidR="002A1F04">
        <w:rPr>
          <w:rFonts w:cs="Times New Roman"/>
        </w:rPr>
        <w:t xml:space="preserve"> </w:t>
      </w:r>
      <w:r w:rsidR="00E86C68">
        <w:rPr>
          <w:rFonts w:cs="Times New Roman"/>
        </w:rPr>
        <w:t>Fluorescence</w:t>
      </w:r>
      <w:r w:rsidR="002A1F04">
        <w:rPr>
          <w:rFonts w:cs="Times New Roman"/>
        </w:rPr>
        <w:t xml:space="preserve"> influx </w:t>
      </w:r>
      <w:r w:rsidR="006B3144">
        <w:rPr>
          <w:rFonts w:cs="Times New Roman"/>
        </w:rPr>
        <w:t>studies</w:t>
      </w:r>
      <w:r w:rsidR="002A1F04">
        <w:rPr>
          <w:rFonts w:cs="Times New Roman"/>
        </w:rPr>
        <w:t xml:space="preserve"> of cholesterol-free DNA nanopores. Representative confocal images show</w:t>
      </w:r>
      <w:r w:rsidR="00E86C68">
        <w:rPr>
          <w:rFonts w:cs="Times New Roman"/>
        </w:rPr>
        <w:t>ed</w:t>
      </w:r>
      <w:r w:rsidR="002A1F04">
        <w:rPr>
          <w:rFonts w:cs="Times New Roman"/>
        </w:rPr>
        <w:t xml:space="preserve"> almost no influx of FITC-dextran (40 </w:t>
      </w:r>
      <w:proofErr w:type="spellStart"/>
      <w:r w:rsidR="002A1F04">
        <w:rPr>
          <w:rFonts w:cs="Times New Roman"/>
        </w:rPr>
        <w:t>kDa</w:t>
      </w:r>
      <w:proofErr w:type="spellEnd"/>
      <w:r w:rsidR="002A1F04">
        <w:rPr>
          <w:rFonts w:cs="Times New Roman"/>
        </w:rPr>
        <w:t xml:space="preserve">) and TRITC-dextran (500 </w:t>
      </w:r>
      <w:proofErr w:type="spellStart"/>
      <w:r w:rsidR="002A1F04">
        <w:rPr>
          <w:rFonts w:cs="Times New Roman"/>
        </w:rPr>
        <w:t>kDa</w:t>
      </w:r>
      <w:proofErr w:type="spellEnd"/>
      <w:r w:rsidR="002A1F04">
        <w:rPr>
          <w:rFonts w:cs="Times New Roman"/>
        </w:rPr>
        <w:t>) into the GUVs incubated with DNP-C (</w:t>
      </w:r>
      <w:r w:rsidR="002A1F04">
        <w:rPr>
          <w:rFonts w:cs="Times New Roman"/>
          <w:b/>
          <w:bCs/>
        </w:rPr>
        <w:t>a</w:t>
      </w:r>
      <w:r w:rsidR="002A1F04">
        <w:rPr>
          <w:rFonts w:cs="Times New Roman"/>
        </w:rPr>
        <w:t>) and DNP-E (</w:t>
      </w:r>
      <w:r w:rsidR="002A1F04">
        <w:rPr>
          <w:rFonts w:cs="Times New Roman"/>
          <w:b/>
          <w:bCs/>
        </w:rPr>
        <w:t>c</w:t>
      </w:r>
      <w:r w:rsidR="002A1F04">
        <w:rPr>
          <w:rFonts w:cs="Times New Roman"/>
        </w:rPr>
        <w:t>). Scale bars: 10μm. Fluorescent traces (</w:t>
      </w:r>
      <w:r w:rsidR="002A1F04">
        <w:rPr>
          <w:rFonts w:cs="Times New Roman"/>
          <w:b/>
          <w:bCs/>
        </w:rPr>
        <w:t>b, d</w:t>
      </w:r>
      <w:r w:rsidR="002A1F04">
        <w:rPr>
          <w:rFonts w:cs="Times New Roman"/>
        </w:rPr>
        <w:t>) show</w:t>
      </w:r>
      <w:r w:rsidR="00E86C68">
        <w:rPr>
          <w:rFonts w:cs="Times New Roman"/>
        </w:rPr>
        <w:t>ed</w:t>
      </w:r>
      <w:r w:rsidR="002A1F04">
        <w:rPr>
          <w:rFonts w:cs="Times New Roman"/>
        </w:rPr>
        <w:t xml:space="preserve"> no apparent increase in fluorescent intensity in the interior of the GUVs incubated with DNP-C and DNP-E, respectively. </w:t>
      </w:r>
      <w:bookmarkStart w:id="6" w:name="OLE_LINK8"/>
      <w:r w:rsidR="002A1F04">
        <w:rPr>
          <w:rFonts w:cs="Times New Roman"/>
        </w:rPr>
        <w:t xml:space="preserve">In control experiments, </w:t>
      </w:r>
      <w:r w:rsidR="00523F9E">
        <w:rPr>
          <w:rFonts w:cs="Times New Roman"/>
        </w:rPr>
        <w:t xml:space="preserve">relevant DNA nanopores in question were not modified by </w:t>
      </w:r>
      <w:r w:rsidR="002A1F04">
        <w:rPr>
          <w:rFonts w:cs="Times New Roman"/>
        </w:rPr>
        <w:t>cholesterol strands.</w:t>
      </w:r>
      <w:bookmarkEnd w:id="6"/>
      <w:r w:rsidR="002A1F04">
        <w:rPr>
          <w:rFonts w:cs="Times New Roman"/>
        </w:rPr>
        <w:t xml:space="preserve"> All fluorescent traces were recorded from the GUVs marked with white circles. Corresponding GUVs were scanned every 15 min for 3 h with a confocal microscope.</w:t>
      </w:r>
    </w:p>
    <w:sectPr w:rsidR="009E76CC" w:rsidRPr="00E12E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46BE4" w14:textId="77777777" w:rsidR="00273083" w:rsidRDefault="00273083" w:rsidP="002A1F04">
      <w:r>
        <w:separator/>
      </w:r>
    </w:p>
  </w:endnote>
  <w:endnote w:type="continuationSeparator" w:id="0">
    <w:p w14:paraId="4DB4651D" w14:textId="77777777" w:rsidR="00273083" w:rsidRDefault="00273083" w:rsidP="002A1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3DEFD" w14:textId="77777777" w:rsidR="00273083" w:rsidRDefault="00273083" w:rsidP="002A1F04">
      <w:r>
        <w:separator/>
      </w:r>
    </w:p>
  </w:footnote>
  <w:footnote w:type="continuationSeparator" w:id="0">
    <w:p w14:paraId="249CBB55" w14:textId="77777777" w:rsidR="00273083" w:rsidRDefault="00273083" w:rsidP="002A1F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TQ1NLewMDYyNjE0sjRQ0lEKTi0uzszPAykwNKgFAAHuNEAtAAAA"/>
  </w:docVars>
  <w:rsids>
    <w:rsidRoot w:val="00677FCF"/>
    <w:rsid w:val="00012971"/>
    <w:rsid w:val="000305AE"/>
    <w:rsid w:val="00033F4E"/>
    <w:rsid w:val="0004473D"/>
    <w:rsid w:val="00080370"/>
    <w:rsid w:val="00081894"/>
    <w:rsid w:val="00085831"/>
    <w:rsid w:val="000867EB"/>
    <w:rsid w:val="000C7211"/>
    <w:rsid w:val="00111E00"/>
    <w:rsid w:val="0014489C"/>
    <w:rsid w:val="00152AC9"/>
    <w:rsid w:val="00183DAA"/>
    <w:rsid w:val="00192A1F"/>
    <w:rsid w:val="001A15F4"/>
    <w:rsid w:val="001D587F"/>
    <w:rsid w:val="001E7A93"/>
    <w:rsid w:val="002222FE"/>
    <w:rsid w:val="002227DA"/>
    <w:rsid w:val="00273083"/>
    <w:rsid w:val="002A1F04"/>
    <w:rsid w:val="002A228B"/>
    <w:rsid w:val="002C3662"/>
    <w:rsid w:val="002E16B0"/>
    <w:rsid w:val="002E71E4"/>
    <w:rsid w:val="002F3843"/>
    <w:rsid w:val="00306E36"/>
    <w:rsid w:val="0032250B"/>
    <w:rsid w:val="0034724B"/>
    <w:rsid w:val="00360EDA"/>
    <w:rsid w:val="00365C1A"/>
    <w:rsid w:val="00371BC1"/>
    <w:rsid w:val="003A6C2E"/>
    <w:rsid w:val="003C44D8"/>
    <w:rsid w:val="003D4E99"/>
    <w:rsid w:val="003F4409"/>
    <w:rsid w:val="004301B7"/>
    <w:rsid w:val="00437229"/>
    <w:rsid w:val="00460137"/>
    <w:rsid w:val="00460151"/>
    <w:rsid w:val="004664AA"/>
    <w:rsid w:val="00481BDD"/>
    <w:rsid w:val="004B7986"/>
    <w:rsid w:val="00504D6C"/>
    <w:rsid w:val="00523F9E"/>
    <w:rsid w:val="00532D08"/>
    <w:rsid w:val="00542B91"/>
    <w:rsid w:val="005A6B65"/>
    <w:rsid w:val="005B6DDD"/>
    <w:rsid w:val="00626993"/>
    <w:rsid w:val="006419B6"/>
    <w:rsid w:val="00642EAB"/>
    <w:rsid w:val="006514E0"/>
    <w:rsid w:val="00677FCF"/>
    <w:rsid w:val="006933EA"/>
    <w:rsid w:val="006961AD"/>
    <w:rsid w:val="006B3144"/>
    <w:rsid w:val="006B4491"/>
    <w:rsid w:val="006C78A9"/>
    <w:rsid w:val="006E022E"/>
    <w:rsid w:val="006F30A7"/>
    <w:rsid w:val="006F40C4"/>
    <w:rsid w:val="00726547"/>
    <w:rsid w:val="0073002F"/>
    <w:rsid w:val="0074709E"/>
    <w:rsid w:val="007563CA"/>
    <w:rsid w:val="00762274"/>
    <w:rsid w:val="00763F88"/>
    <w:rsid w:val="00777365"/>
    <w:rsid w:val="00781AF5"/>
    <w:rsid w:val="007A3817"/>
    <w:rsid w:val="007E56F4"/>
    <w:rsid w:val="007F0199"/>
    <w:rsid w:val="008619B8"/>
    <w:rsid w:val="0086451E"/>
    <w:rsid w:val="00884D1C"/>
    <w:rsid w:val="008E3F43"/>
    <w:rsid w:val="00902851"/>
    <w:rsid w:val="009E76CC"/>
    <w:rsid w:val="00A65CB6"/>
    <w:rsid w:val="00A74330"/>
    <w:rsid w:val="00AD27DA"/>
    <w:rsid w:val="00AE52A4"/>
    <w:rsid w:val="00AF2394"/>
    <w:rsid w:val="00B2245A"/>
    <w:rsid w:val="00B32C68"/>
    <w:rsid w:val="00B43426"/>
    <w:rsid w:val="00B66A6B"/>
    <w:rsid w:val="00B71F2E"/>
    <w:rsid w:val="00BA3C65"/>
    <w:rsid w:val="00C05D3A"/>
    <w:rsid w:val="00C23842"/>
    <w:rsid w:val="00C44552"/>
    <w:rsid w:val="00C75FA9"/>
    <w:rsid w:val="00C931BA"/>
    <w:rsid w:val="00C94F65"/>
    <w:rsid w:val="00CE59E3"/>
    <w:rsid w:val="00D10667"/>
    <w:rsid w:val="00D261BA"/>
    <w:rsid w:val="00D6396E"/>
    <w:rsid w:val="00DC0026"/>
    <w:rsid w:val="00DE1CD3"/>
    <w:rsid w:val="00DE57E3"/>
    <w:rsid w:val="00E12EE3"/>
    <w:rsid w:val="00E20C7E"/>
    <w:rsid w:val="00E86C68"/>
    <w:rsid w:val="00E929E5"/>
    <w:rsid w:val="00EA1BAF"/>
    <w:rsid w:val="00ED2617"/>
    <w:rsid w:val="00EF4223"/>
    <w:rsid w:val="00F008FB"/>
    <w:rsid w:val="00F40BB2"/>
    <w:rsid w:val="00F62C0E"/>
    <w:rsid w:val="00F70347"/>
    <w:rsid w:val="00FA2B74"/>
    <w:rsid w:val="00FB010A"/>
    <w:rsid w:val="00FD702C"/>
    <w:rsid w:val="00FE0964"/>
    <w:rsid w:val="00FE5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B69DB7"/>
  <w15:chartTrackingRefBased/>
  <w15:docId w15:val="{0DA38A04-2AB8-4D68-9B1F-6992B79CC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A1F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1F0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A1F04"/>
    <w:rPr>
      <w:sz w:val="18"/>
      <w:szCs w:val="18"/>
    </w:rPr>
  </w:style>
  <w:style w:type="paragraph" w:styleId="a5">
    <w:name w:val="footer"/>
    <w:basedOn w:val="a"/>
    <w:link w:val="a6"/>
    <w:uiPriority w:val="99"/>
    <w:unhideWhenUsed/>
    <w:rsid w:val="002A1F04"/>
    <w:pPr>
      <w:tabs>
        <w:tab w:val="center" w:pos="4153"/>
        <w:tab w:val="right" w:pos="8306"/>
      </w:tabs>
      <w:snapToGrid w:val="0"/>
      <w:jc w:val="left"/>
    </w:pPr>
    <w:rPr>
      <w:sz w:val="18"/>
      <w:szCs w:val="18"/>
    </w:rPr>
  </w:style>
  <w:style w:type="character" w:customStyle="1" w:styleId="a6">
    <w:name w:val="页脚 字符"/>
    <w:basedOn w:val="a0"/>
    <w:link w:val="a5"/>
    <w:uiPriority w:val="99"/>
    <w:rsid w:val="002A1F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111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13</Pages>
  <Words>1114</Words>
  <Characters>6350</Characters>
  <Application>Microsoft Office Word</Application>
  <DocSecurity>0</DocSecurity>
  <Lines>52</Lines>
  <Paragraphs>14</Paragraphs>
  <ScaleCrop>false</ScaleCrop>
  <Company/>
  <LinksUpToDate>false</LinksUpToDate>
  <CharactersWithSpaces>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Liu_Fengyu</dc:creator>
  <cp:keywords/>
  <dc:description/>
  <cp:lastModifiedBy>Fengyu Liu</cp:lastModifiedBy>
  <cp:revision>47</cp:revision>
  <dcterms:created xsi:type="dcterms:W3CDTF">2023-10-30T07:55:00Z</dcterms:created>
  <dcterms:modified xsi:type="dcterms:W3CDTF">2024-01-19T07:55:00Z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a58287634af28278c84323e32e4d2b2b09d6ac8e7ee548865ff44da92eb3956e</vt:lpwstr>
  </property>
</Properties>
</file>