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5BEE8" w14:textId="77777777" w:rsidR="00D579D0" w:rsidRDefault="00D579D0" w:rsidP="00D579D0">
      <w:pPr>
        <w:widowControl/>
        <w:rPr>
          <w:rFonts w:ascii="Arial" w:hAnsi="Arial" w:cs="Arial" w:hint="eastAsia"/>
          <w:color w:val="000000"/>
          <w:sz w:val="24"/>
          <w:szCs w:val="24"/>
        </w:rPr>
      </w:pPr>
    </w:p>
    <w:p w14:paraId="6B59A518" w14:textId="776F6AC2" w:rsidR="00D579D0" w:rsidRDefault="00D579D0" w:rsidP="00D579D0">
      <w:pPr>
        <w:widowControl/>
        <w:jc w:val="center"/>
        <w:rPr>
          <w:rFonts w:ascii="Arial" w:hAnsi="Arial" w:cs="Arial" w:hint="eastAsia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3A6822DC" wp14:editId="61DAE1FB">
            <wp:extent cx="4237990" cy="1812925"/>
            <wp:effectExtent l="0" t="0" r="0" b="0"/>
            <wp:docPr id="383091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990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691F6940" w14:textId="218AF984" w:rsidR="00D579D0" w:rsidRDefault="00D579D0" w:rsidP="00D579D0">
      <w:pPr>
        <w:widowControl/>
        <w:rPr>
          <w:rFonts w:ascii="Arial" w:hAnsi="Arial" w:cs="Arial" w:hint="eastAsia"/>
          <w:color w:val="000000"/>
          <w:sz w:val="24"/>
          <w:szCs w:val="24"/>
        </w:rPr>
      </w:pP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Extended Data Fig. </w:t>
      </w:r>
      <w:r>
        <w:rPr>
          <w:rFonts w:ascii="Arial" w:hAnsi="Arial" w:cs="Arial"/>
          <w:b/>
          <w:bCs/>
          <w:spacing w:val="7"/>
          <w:sz w:val="24"/>
          <w:szCs w:val="24"/>
        </w:rPr>
        <w:t>1</w:t>
      </w: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 | Sanger sequencing of AjTadA.v1 at </w:t>
      </w:r>
      <w:r>
        <w:rPr>
          <w:rFonts w:ascii="Arial" w:hAnsi="Arial" w:cs="Arial" w:hint="eastAsia"/>
          <w:b/>
          <w:bCs/>
          <w:i/>
          <w:iCs/>
          <w:spacing w:val="7"/>
          <w:sz w:val="24"/>
          <w:szCs w:val="24"/>
        </w:rPr>
        <w:t>PIK3CA</w:t>
      </w: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 loci.</w:t>
      </w:r>
      <w:r>
        <w:rPr>
          <w:rFonts w:ascii="Arial" w:hAnsi="Arial" w:cs="Arial" w:hint="eastAsia"/>
          <w:color w:val="000000"/>
          <w:sz w:val="24"/>
          <w:szCs w:val="24"/>
        </w:rPr>
        <w:br w:type="page"/>
      </w:r>
      <w:r>
        <w:rPr>
          <w:rFonts w:ascii="Arial" w:hAnsi="Arial" w:cs="Arial" w:hint="eastAsia"/>
          <w:noProof/>
          <w:color w:val="000000"/>
          <w:sz w:val="24"/>
          <w:szCs w:val="24"/>
        </w:rPr>
        <w:lastRenderedPageBreak/>
        <w:drawing>
          <wp:inline distT="0" distB="0" distL="0" distR="0" wp14:anchorId="480E2C0F" wp14:editId="08D155F2">
            <wp:extent cx="5271770" cy="3935730"/>
            <wp:effectExtent l="0" t="0" r="5080" b="7620"/>
            <wp:docPr id="243803445" name="Picture 6" descr="FigureS1_00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FigureS1_00(3)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15ACDD" w14:textId="77777777" w:rsidR="00D579D0" w:rsidRDefault="00D579D0" w:rsidP="00D579D0">
      <w:pPr>
        <w:widowControl/>
        <w:rPr>
          <w:rFonts w:ascii="Arial" w:hAnsi="Arial" w:cs="Arial"/>
          <w:spacing w:val="7"/>
          <w:sz w:val="24"/>
          <w:szCs w:val="24"/>
        </w:rPr>
      </w:pP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Extended Data Fig. </w:t>
      </w:r>
      <w:r>
        <w:rPr>
          <w:rFonts w:ascii="Arial" w:hAnsi="Arial" w:cs="Arial"/>
          <w:b/>
          <w:bCs/>
          <w:spacing w:val="7"/>
          <w:sz w:val="24"/>
          <w:szCs w:val="24"/>
        </w:rPr>
        <w:t>2</w:t>
      </w: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 | Conservative site analysis of TadA protein sequence based on multiple sequence alignment. </w:t>
      </w:r>
      <w:r>
        <w:rPr>
          <w:rFonts w:ascii="Arial" w:hAnsi="Arial" w:cs="Arial" w:hint="eastAsia"/>
          <w:spacing w:val="7"/>
          <w:sz w:val="24"/>
          <w:szCs w:val="24"/>
        </w:rPr>
        <w:t>The red triangle indicates highly conserved amino acids. The yellow, green, purple and blue squares represent adjacent amino acids with different distances from highly conserved sites.</w:t>
      </w:r>
    </w:p>
    <w:p w14:paraId="5B959AB6" w14:textId="77777777" w:rsidR="00D579D0" w:rsidRDefault="00D579D0" w:rsidP="00D579D0">
      <w:pPr>
        <w:widowControl/>
        <w:rPr>
          <w:rFonts w:ascii="Arial" w:hAnsi="Arial" w:cs="Arial" w:hint="eastAsia"/>
          <w:b/>
          <w:bCs/>
          <w:spacing w:val="7"/>
          <w:sz w:val="24"/>
          <w:szCs w:val="24"/>
        </w:rPr>
      </w:pPr>
    </w:p>
    <w:p w14:paraId="155D1ED9" w14:textId="77777777" w:rsidR="00D579D0" w:rsidRDefault="00D579D0" w:rsidP="00D579D0">
      <w:pPr>
        <w:widowControl/>
        <w:rPr>
          <w:rFonts w:ascii="Arial" w:hAnsi="Arial" w:cs="Arial" w:hint="eastAsia"/>
          <w:b/>
          <w:bCs/>
          <w:spacing w:val="7"/>
          <w:sz w:val="24"/>
          <w:szCs w:val="24"/>
        </w:rPr>
      </w:pPr>
    </w:p>
    <w:p w14:paraId="30751F6F" w14:textId="2237A16E" w:rsidR="00D579D0" w:rsidRDefault="00D579D0" w:rsidP="00D579D0">
      <w:pPr>
        <w:widowControl/>
        <w:rPr>
          <w:rFonts w:ascii="Arial" w:hAnsi="Arial" w:cs="Arial" w:hint="eastAsia"/>
          <w:b/>
          <w:bCs/>
          <w:spacing w:val="7"/>
          <w:sz w:val="24"/>
          <w:szCs w:val="24"/>
        </w:rPr>
      </w:pPr>
      <w:r>
        <w:rPr>
          <w:rFonts w:ascii="Arial" w:hAnsi="Arial" w:cs="Arial" w:hint="eastAsia"/>
          <w:b/>
          <w:bCs/>
          <w:spacing w:val="7"/>
          <w:sz w:val="24"/>
          <w:szCs w:val="24"/>
        </w:rPr>
        <w:br w:type="page"/>
      </w:r>
      <w:r>
        <w:rPr>
          <w:rFonts w:ascii="Arial" w:hAnsi="Arial" w:cs="Arial" w:hint="eastAsia"/>
          <w:b/>
          <w:bCs/>
          <w:noProof/>
          <w:spacing w:val="7"/>
          <w:sz w:val="24"/>
          <w:szCs w:val="24"/>
        </w:rPr>
        <w:lastRenderedPageBreak/>
        <w:drawing>
          <wp:inline distT="0" distB="0" distL="0" distR="0" wp14:anchorId="62BD28FE" wp14:editId="74876241">
            <wp:extent cx="5271770" cy="7450455"/>
            <wp:effectExtent l="0" t="0" r="5080" b="0"/>
            <wp:docPr id="1606037184" name="Picture 5" descr="FigureS3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FigureS3_0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45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3AC6F" w14:textId="77777777" w:rsidR="00D579D0" w:rsidRDefault="00D579D0" w:rsidP="00D579D0">
      <w:pPr>
        <w:widowControl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Extended Data Fig. </w:t>
      </w:r>
      <w:r>
        <w:rPr>
          <w:rFonts w:ascii="Arial" w:hAnsi="Arial" w:cs="Arial"/>
          <w:b/>
          <w:bCs/>
          <w:spacing w:val="7"/>
          <w:sz w:val="24"/>
          <w:szCs w:val="24"/>
        </w:rPr>
        <w:t>3</w:t>
      </w: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 |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AjTadA enables robust C-to-T genomic editing in mammalian cells. </w:t>
      </w:r>
      <w:r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>Data are presented as means ± s.d.</w:t>
      </w:r>
      <w:r>
        <w:rPr>
          <w:rFonts w:ascii="Arial" w:hAnsi="Arial" w:cs="Arial" w:hint="eastAsia"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eastAsia="Arial" w:hAnsi="Arial" w:cs="Arial" w:hint="eastAsia"/>
          <w:color w:val="000000"/>
          <w:spacing w:val="15"/>
          <w:sz w:val="24"/>
          <w:szCs w:val="24"/>
        </w:rPr>
        <w:t>Values represent n = 3 independent biological replicates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>.</w:t>
      </w:r>
    </w:p>
    <w:p w14:paraId="773AE042" w14:textId="77777777" w:rsidR="00D579D0" w:rsidRDefault="00D579D0" w:rsidP="00D579D0">
      <w:pPr>
        <w:widowControl/>
        <w:rPr>
          <w:rFonts w:ascii="Arial" w:hAnsi="Arial" w:cs="Arial" w:hint="eastAsia"/>
          <w:b/>
          <w:bCs/>
          <w:sz w:val="24"/>
          <w:szCs w:val="24"/>
        </w:rPr>
      </w:pPr>
    </w:p>
    <w:p w14:paraId="28BA3E30" w14:textId="77777777" w:rsidR="00D579D0" w:rsidRDefault="00D579D0" w:rsidP="00D579D0">
      <w:pPr>
        <w:widowControl/>
        <w:rPr>
          <w:rFonts w:ascii="Arial" w:hAnsi="Arial" w:cs="Arial" w:hint="eastAsia"/>
          <w:b/>
          <w:bCs/>
          <w:sz w:val="24"/>
          <w:szCs w:val="24"/>
        </w:rPr>
      </w:pPr>
    </w:p>
    <w:p w14:paraId="0BF074CF" w14:textId="77777777" w:rsidR="00D579D0" w:rsidRDefault="00D579D0" w:rsidP="00D579D0">
      <w:pPr>
        <w:widowControl/>
        <w:rPr>
          <w:rFonts w:ascii="Arial" w:hAnsi="Arial" w:cs="Arial"/>
          <w:b/>
          <w:bCs/>
          <w:sz w:val="24"/>
          <w:szCs w:val="24"/>
        </w:rPr>
      </w:pPr>
    </w:p>
    <w:p w14:paraId="22BDD39C" w14:textId="306CF37B" w:rsidR="00D579D0" w:rsidRDefault="00D579D0" w:rsidP="00D579D0">
      <w:pPr>
        <w:widowControl/>
        <w:jc w:val="center"/>
        <w:rPr>
          <w:rFonts w:ascii="Arial" w:hAnsi="Arial" w:cs="Arial" w:hint="eastAsia"/>
          <w:color w:val="000000"/>
          <w:sz w:val="24"/>
          <w:szCs w:val="24"/>
        </w:rPr>
      </w:pPr>
      <w:r>
        <w:rPr>
          <w:rFonts w:ascii="Arial" w:hAnsi="Arial" w:cs="Arial" w:hint="eastAsia"/>
          <w:noProof/>
          <w:color w:val="000000"/>
          <w:sz w:val="24"/>
          <w:szCs w:val="24"/>
        </w:rPr>
        <w:lastRenderedPageBreak/>
        <w:drawing>
          <wp:inline distT="0" distB="0" distL="0" distR="0" wp14:anchorId="0DDA878C" wp14:editId="420E0F47">
            <wp:extent cx="4373245" cy="4023360"/>
            <wp:effectExtent l="0" t="0" r="8255" b="0"/>
            <wp:docPr id="812440903" name="Picture 4" descr="FigureS4_0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FigureS4_00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245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BDA2A" w14:textId="77777777" w:rsidR="00D579D0" w:rsidRDefault="00D579D0" w:rsidP="00D579D0">
      <w:pPr>
        <w:widowControl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Extended Data Fig. </w:t>
      </w:r>
      <w:r>
        <w:rPr>
          <w:rFonts w:ascii="Arial" w:hAnsi="Arial" w:cs="Arial"/>
          <w:b/>
          <w:bCs/>
          <w:spacing w:val="7"/>
          <w:sz w:val="24"/>
          <w:szCs w:val="24"/>
        </w:rPr>
        <w:t>4</w:t>
      </w: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 | A-to-G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genomic editing of base editors in mammalian cells. </w:t>
      </w:r>
      <w:r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>Data are presented as means ± s.d.</w:t>
      </w:r>
      <w:r>
        <w:rPr>
          <w:rFonts w:ascii="Arial" w:hAnsi="Arial" w:cs="Arial" w:hint="eastAsia"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eastAsia="Arial" w:hAnsi="Arial" w:cs="Arial" w:hint="eastAsia"/>
          <w:color w:val="000000"/>
          <w:spacing w:val="15"/>
          <w:sz w:val="24"/>
          <w:szCs w:val="24"/>
        </w:rPr>
        <w:t>Values represent n = 3 independent biological replicates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>.</w:t>
      </w:r>
    </w:p>
    <w:p w14:paraId="2F9D7CF0" w14:textId="1429A231" w:rsidR="00D579D0" w:rsidRDefault="00D579D0" w:rsidP="00D579D0">
      <w:pPr>
        <w:widowControl/>
        <w:jc w:val="left"/>
        <w:rPr>
          <w:rFonts w:ascii="Arial" w:hAnsi="Arial" w:cs="Arial" w:hint="eastAsia"/>
          <w:bCs/>
          <w:sz w:val="24"/>
          <w:szCs w:val="24"/>
        </w:rPr>
      </w:pPr>
      <w:r>
        <w:rPr>
          <w:rFonts w:ascii="Arial" w:hAnsi="Arial" w:cs="Arial" w:hint="eastAsia"/>
          <w:color w:val="000000"/>
          <w:sz w:val="24"/>
          <w:szCs w:val="24"/>
        </w:rPr>
        <w:br w:type="page"/>
      </w:r>
      <w:r>
        <w:rPr>
          <w:rFonts w:ascii="Arial" w:hAnsi="Arial" w:cs="Arial" w:hint="eastAsia"/>
          <w:bCs/>
          <w:noProof/>
          <w:sz w:val="24"/>
          <w:szCs w:val="24"/>
        </w:rPr>
        <w:lastRenderedPageBreak/>
        <w:drawing>
          <wp:inline distT="0" distB="0" distL="0" distR="0" wp14:anchorId="138EAF39" wp14:editId="0AD6FBD2">
            <wp:extent cx="5136515" cy="2814955"/>
            <wp:effectExtent l="0" t="0" r="6985" b="4445"/>
            <wp:docPr id="114272538" name="Picture 3" descr="Figure5-off-target_0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Figure5-off-target_00(1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15" cy="281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47CECA72" w14:textId="77777777" w:rsidR="00D579D0" w:rsidRDefault="00D579D0" w:rsidP="00D579D0">
      <w:pPr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Extended Data Fig. </w:t>
      </w:r>
      <w:r>
        <w:rPr>
          <w:rFonts w:ascii="Arial" w:hAnsi="Arial" w:cs="Arial"/>
          <w:b/>
          <w:bCs/>
          <w:spacing w:val="7"/>
          <w:sz w:val="24"/>
          <w:szCs w:val="24"/>
        </w:rPr>
        <w:t>5</w:t>
      </w: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 | </w:t>
      </w:r>
      <w:r>
        <w:rPr>
          <w:rFonts w:ascii="Arial" w:hAnsi="Arial" w:cs="Arial" w:hint="eastAsia"/>
          <w:b/>
          <w:bCs/>
          <w:sz w:val="24"/>
          <w:szCs w:val="24"/>
        </w:rPr>
        <w:t>AjTadA</w:t>
      </w:r>
      <w:r>
        <w:rPr>
          <w:rFonts w:ascii="Arial" w:hAnsi="Arial" w:cs="Arial"/>
          <w:b/>
          <w:bCs/>
          <w:sz w:val="24"/>
          <w:szCs w:val="24"/>
        </w:rPr>
        <w:t>-</w:t>
      </w:r>
      <w:r>
        <w:rPr>
          <w:rFonts w:ascii="Arial" w:hAnsi="Arial" w:cs="Arial" w:hint="eastAsia"/>
          <w:b/>
          <w:bCs/>
          <w:sz w:val="24"/>
          <w:szCs w:val="24"/>
        </w:rPr>
        <w:t>derived base editors with high specificity in mammalian cells.</w:t>
      </w:r>
    </w:p>
    <w:p w14:paraId="63394749" w14:textId="77777777" w:rsidR="00D579D0" w:rsidRDefault="00D579D0" w:rsidP="00D579D0">
      <w:pPr>
        <w:rPr>
          <w:rFonts w:ascii="Arial" w:eastAsia="Arial" w:hAnsi="Arial" w:cs="Arial"/>
          <w:color w:val="000000"/>
          <w:spacing w:val="15"/>
          <w:sz w:val="24"/>
          <w:szCs w:val="24"/>
        </w:rPr>
      </w:pPr>
      <w:r>
        <w:rPr>
          <w:rFonts w:ascii="Arial" w:hAnsi="Arial" w:cs="Arial" w:hint="eastAsia"/>
          <w:b/>
          <w:bCs/>
          <w:color w:val="000000"/>
          <w:sz w:val="24"/>
          <w:szCs w:val="24"/>
          <w:shd w:val="clear" w:color="auto" w:fill="FFFFFF"/>
        </w:rPr>
        <w:t>a</w:t>
      </w:r>
      <w:r>
        <w:rPr>
          <w:rFonts w:ascii="Arial" w:hAnsi="Arial" w:cs="Arial" w:hint="eastAsia"/>
          <w:b/>
          <w:bCs/>
          <w:color w:val="000000"/>
          <w:sz w:val="24"/>
          <w:szCs w:val="24"/>
        </w:rPr>
        <w:t>.</w:t>
      </w:r>
      <w:r>
        <w:rPr>
          <w:rFonts w:ascii="Arial" w:hAnsi="Arial" w:cs="Arial" w:hint="eastAsia"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The </w:t>
      </w:r>
      <w:r>
        <w:rPr>
          <w:rFonts w:ascii="Arial" w:hAnsi="Arial" w:cs="Arial"/>
          <w:color w:val="000000"/>
          <w:sz w:val="24"/>
          <w:szCs w:val="24"/>
        </w:rPr>
        <w:t>gRNA-dependent off-target levels at the potential off-target sites</w:t>
      </w:r>
      <w:r>
        <w:rPr>
          <w:rFonts w:ascii="Arial" w:hAnsi="Arial" w:cs="Arial" w:hint="eastAsia"/>
          <w:color w:val="000000"/>
          <w:sz w:val="24"/>
          <w:szCs w:val="24"/>
        </w:rPr>
        <w:t>. b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Arial" w:hAnsi="Arial" w:cs="Arial" w:hint="eastAsia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The gRNA-independent off-target activity at </w:t>
      </w:r>
      <w:r>
        <w:rPr>
          <w:rFonts w:ascii="Arial" w:hAnsi="Arial" w:cs="Arial" w:hint="eastAsia"/>
          <w:color w:val="000000"/>
          <w:sz w:val="24"/>
          <w:szCs w:val="24"/>
        </w:rPr>
        <w:t xml:space="preserve">five </w:t>
      </w:r>
      <w:r>
        <w:rPr>
          <w:rFonts w:ascii="Arial" w:hAnsi="Arial" w:cs="Arial"/>
          <w:color w:val="000000"/>
          <w:sz w:val="24"/>
          <w:szCs w:val="24"/>
        </w:rPr>
        <w:t>R-loops formed by d</w:t>
      </w:r>
      <w:r>
        <w:rPr>
          <w:rFonts w:ascii="Arial" w:hAnsi="Arial" w:cs="Arial" w:hint="eastAsia"/>
          <w:color w:val="000000"/>
          <w:sz w:val="24"/>
          <w:szCs w:val="24"/>
        </w:rPr>
        <w:t>SaCas9.</w:t>
      </w:r>
      <w:r>
        <w:rPr>
          <w:rFonts w:ascii="Arial" w:hAnsi="Arial" w:cs="Arial" w:hint="eastAsia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 w:hint="eastAsia"/>
          <w:b/>
          <w:bCs/>
          <w:color w:val="222222"/>
          <w:sz w:val="24"/>
          <w:szCs w:val="24"/>
          <w:shd w:val="clear" w:color="auto" w:fill="FFFFFF"/>
        </w:rPr>
        <w:t>c.</w:t>
      </w:r>
      <w:r>
        <w:rPr>
          <w:rFonts w:ascii="Arial" w:hAnsi="Arial" w:cs="Arial" w:hint="eastAsia"/>
          <w:color w:val="222222"/>
          <w:sz w:val="24"/>
          <w:szCs w:val="24"/>
          <w:shd w:val="clear" w:color="auto" w:fill="FFFFFF"/>
        </w:rPr>
        <w:t xml:space="preserve"> Transcriptome-wide off-target analysis of aTdCBE and TadA-CBEd</w:t>
      </w:r>
      <w:r>
        <w:rPr>
          <w:rFonts w:ascii="Arial" w:hAnsi="Arial" w:cs="Arial" w:hint="eastAsia"/>
          <w:color w:val="000000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>Data are presented as means ± s.d.</w:t>
      </w:r>
      <w:r>
        <w:rPr>
          <w:rFonts w:ascii="Arial" w:hAnsi="Arial" w:cs="Arial" w:hint="eastAsia"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eastAsia="Arial" w:hAnsi="Arial" w:cs="Arial" w:hint="eastAsia"/>
          <w:color w:val="000000"/>
          <w:spacing w:val="15"/>
          <w:sz w:val="24"/>
          <w:szCs w:val="24"/>
        </w:rPr>
        <w:t>Values represent n =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3</w:t>
      </w:r>
      <w:r>
        <w:rPr>
          <w:rFonts w:ascii="Arial" w:eastAsia="Arial" w:hAnsi="Arial" w:cs="Arial" w:hint="eastAsia"/>
          <w:color w:val="000000"/>
          <w:spacing w:val="15"/>
          <w:sz w:val="24"/>
          <w:szCs w:val="24"/>
        </w:rPr>
        <w:t xml:space="preserve"> independent biological replicates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>.</w:t>
      </w:r>
    </w:p>
    <w:p w14:paraId="2770AD7D" w14:textId="11C883AD" w:rsidR="00D579D0" w:rsidRDefault="00D579D0" w:rsidP="00D579D0">
      <w:pPr>
        <w:jc w:val="center"/>
        <w:rPr>
          <w:rFonts w:ascii="Arial" w:hAnsi="Arial" w:cs="Arial" w:hint="eastAsia"/>
          <w:b/>
          <w:bCs/>
          <w:color w:val="000000"/>
          <w:spacing w:val="7"/>
          <w:sz w:val="24"/>
          <w:szCs w:val="24"/>
        </w:rPr>
      </w:pPr>
      <w:r>
        <w:rPr>
          <w:rFonts w:ascii="Arial" w:hAnsi="Arial" w:cs="Arial" w:hint="eastAsia"/>
          <w:b/>
          <w:bCs/>
          <w:color w:val="000000"/>
          <w:spacing w:val="7"/>
          <w:sz w:val="24"/>
          <w:szCs w:val="24"/>
        </w:rPr>
        <w:br w:type="page"/>
      </w:r>
      <w:r>
        <w:rPr>
          <w:rFonts w:ascii="Arial" w:hAnsi="Arial" w:cs="Arial" w:hint="eastAsia"/>
          <w:b/>
          <w:bCs/>
          <w:noProof/>
          <w:color w:val="000000"/>
          <w:spacing w:val="7"/>
          <w:sz w:val="24"/>
          <w:szCs w:val="24"/>
        </w:rPr>
        <w:lastRenderedPageBreak/>
        <w:drawing>
          <wp:inline distT="0" distB="0" distL="0" distR="0" wp14:anchorId="63E4DB5F" wp14:editId="532A1DDD">
            <wp:extent cx="3300095" cy="3339465"/>
            <wp:effectExtent l="0" t="0" r="0" b="0"/>
            <wp:docPr id="1859259053" name="Picture 2" descr="FigureS6n_0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FigureS6n_00(1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095" cy="333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BC5274" w14:textId="77777777" w:rsidR="00D579D0" w:rsidRDefault="00D579D0" w:rsidP="00D579D0">
      <w:pPr>
        <w:widowControl/>
        <w:rPr>
          <w:rFonts w:ascii="Arial" w:eastAsia="Arial" w:hAnsi="Arial" w:cs="Arial"/>
          <w:color w:val="000000"/>
          <w:spacing w:val="15"/>
          <w:sz w:val="24"/>
          <w:szCs w:val="24"/>
        </w:rPr>
      </w:pPr>
      <w:r>
        <w:rPr>
          <w:rFonts w:ascii="Arial" w:hAnsi="Arial" w:cs="Arial" w:hint="eastAsia"/>
          <w:b/>
          <w:bCs/>
          <w:spacing w:val="7"/>
          <w:sz w:val="24"/>
          <w:szCs w:val="24"/>
        </w:rPr>
        <w:t>Extended Data Fig. 6 |</w:t>
      </w:r>
      <w:r>
        <w:t xml:space="preserve"> </w:t>
      </w: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Comparing the editing efficiency of CBEs at the exon 55 SAS of </w:t>
      </w:r>
      <w:r>
        <w:rPr>
          <w:rFonts w:ascii="Arial" w:hAnsi="Arial" w:cs="Arial" w:hint="eastAsia"/>
          <w:b/>
          <w:bCs/>
          <w:i/>
          <w:iCs/>
          <w:spacing w:val="7"/>
          <w:sz w:val="24"/>
          <w:szCs w:val="24"/>
        </w:rPr>
        <w:t>DMD</w:t>
      </w: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 gene in HEK293T cells</w:t>
      </w:r>
      <w:r>
        <w:rPr>
          <w:rFonts w:ascii="Arial" w:hAnsi="Arial" w:cs="Arial"/>
          <w:b/>
          <w:bCs/>
          <w:spacing w:val="7"/>
          <w:sz w:val="24"/>
          <w:szCs w:val="24"/>
        </w:rPr>
        <w:t>.</w:t>
      </w:r>
      <w:r>
        <w:rPr>
          <w:rFonts w:ascii="Arial" w:hAnsi="Arial" w:cs="Arial" w:hint="eastAsia"/>
          <w:b/>
          <w:bCs/>
          <w:spacing w:val="7"/>
          <w:sz w:val="24"/>
          <w:szCs w:val="24"/>
        </w:rPr>
        <w:t xml:space="preserve"> </w:t>
      </w:r>
      <w:r>
        <w:rPr>
          <w:rFonts w:ascii="Arial" w:hAnsi="Arial" w:cs="Arial" w:hint="eastAsia"/>
          <w:spacing w:val="7"/>
          <w:sz w:val="24"/>
          <w:szCs w:val="24"/>
        </w:rPr>
        <w:t>SpG Cas9 were used to targeting the SAS-containing sequence with 3</w:t>
      </w:r>
      <w:r>
        <w:rPr>
          <w:rFonts w:ascii="Arial" w:hAnsi="Arial" w:cs="Arial"/>
          <w:spacing w:val="7"/>
          <w:sz w:val="24"/>
          <w:szCs w:val="24"/>
        </w:rPr>
        <w:t>’</w:t>
      </w:r>
      <w:r>
        <w:rPr>
          <w:rFonts w:ascii="Arial" w:hAnsi="Arial" w:cs="Arial" w:hint="eastAsia"/>
          <w:spacing w:val="7"/>
          <w:sz w:val="24"/>
          <w:szCs w:val="24"/>
        </w:rPr>
        <w:t xml:space="preserve">-TGT PAM. </w:t>
      </w:r>
      <w:r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>Data are presented as means ± s.d.</w:t>
      </w:r>
      <w:r>
        <w:rPr>
          <w:rFonts w:ascii="Arial" w:hAnsi="Arial" w:cs="Arial" w:hint="eastAsia"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eastAsia="Arial" w:hAnsi="Arial" w:cs="Arial" w:hint="eastAsia"/>
          <w:color w:val="000000"/>
          <w:spacing w:val="15"/>
          <w:sz w:val="24"/>
          <w:szCs w:val="24"/>
        </w:rPr>
        <w:t>Values represent n =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3</w:t>
      </w:r>
      <w:r>
        <w:rPr>
          <w:rFonts w:ascii="Arial" w:eastAsia="Arial" w:hAnsi="Arial" w:cs="Arial" w:hint="eastAsia"/>
          <w:color w:val="000000"/>
          <w:spacing w:val="15"/>
          <w:sz w:val="24"/>
          <w:szCs w:val="24"/>
        </w:rPr>
        <w:t xml:space="preserve"> independent biological replicates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>.</w:t>
      </w:r>
    </w:p>
    <w:p w14:paraId="5BB3EEE6" w14:textId="4AE5DC44" w:rsidR="00D579D0" w:rsidRDefault="00D579D0" w:rsidP="00D579D0">
      <w:pPr>
        <w:jc w:val="left"/>
        <w:rPr>
          <w:rFonts w:ascii="Arial" w:hAnsi="Arial" w:cs="Arial" w:hint="eastAsia"/>
          <w:b/>
          <w:bCs/>
          <w:spacing w:val="7"/>
          <w:sz w:val="24"/>
          <w:szCs w:val="24"/>
        </w:rPr>
      </w:pPr>
      <w:r>
        <w:rPr>
          <w:rFonts w:ascii="Arial" w:hAnsi="Arial" w:cs="Arial" w:hint="eastAsia"/>
          <w:b/>
          <w:bCs/>
          <w:color w:val="000000"/>
          <w:spacing w:val="7"/>
          <w:sz w:val="24"/>
          <w:szCs w:val="24"/>
        </w:rPr>
        <w:br w:type="page"/>
      </w:r>
      <w:r>
        <w:rPr>
          <w:rFonts w:ascii="Arial" w:hAnsi="Arial" w:cs="Arial"/>
          <w:b/>
          <w:noProof/>
          <w:spacing w:val="7"/>
          <w:sz w:val="24"/>
          <w:szCs w:val="24"/>
          <w:lang w:val="en-US" w:eastAsia="en-US"/>
        </w:rPr>
        <w:lastRenderedPageBreak/>
        <w:drawing>
          <wp:inline distT="0" distB="0" distL="0" distR="0" wp14:anchorId="5DC0B828" wp14:editId="621496B1">
            <wp:extent cx="4739005" cy="4969510"/>
            <wp:effectExtent l="0" t="0" r="4445" b="2540"/>
            <wp:docPr id="972954282" name="Picture 1" descr="Supplementary Fig.4_0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Supplementary Fig.4_00(1)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005" cy="496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0E7B1" w14:textId="77777777" w:rsidR="00D579D0" w:rsidRDefault="00D579D0" w:rsidP="00D579D0">
      <w:pPr>
        <w:widowControl/>
        <w:rPr>
          <w:rFonts w:ascii="Arial" w:hAnsi="Arial" w:cs="Arial" w:hint="eastAsia"/>
          <w:b/>
          <w:bCs/>
          <w:spacing w:val="7"/>
          <w:sz w:val="24"/>
          <w:szCs w:val="24"/>
        </w:rPr>
      </w:pPr>
      <w:r>
        <w:rPr>
          <w:rFonts w:ascii="Arial" w:hAnsi="Arial" w:cs="Arial" w:hint="eastAsia"/>
          <w:b/>
          <w:bCs/>
          <w:spacing w:val="7"/>
          <w:sz w:val="24"/>
          <w:szCs w:val="24"/>
        </w:rPr>
        <w:t>Extended Data Fig. 7 |</w:t>
      </w:r>
      <w:r>
        <w:t xml:space="preserve"> </w:t>
      </w:r>
      <w:r>
        <w:rPr>
          <w:rFonts w:ascii="Arial" w:hAnsi="Arial" w:cs="Arial"/>
          <w:b/>
          <w:bCs/>
          <w:spacing w:val="7"/>
          <w:sz w:val="24"/>
          <w:szCs w:val="24"/>
        </w:rPr>
        <w:t>Establishment and characterization of a humanized DMD mouse model.</w:t>
      </w:r>
    </w:p>
    <w:p w14:paraId="6F25279F" w14:textId="77777777" w:rsidR="00D579D0" w:rsidRDefault="00D579D0" w:rsidP="00D579D0">
      <w:pPr>
        <w:rPr>
          <w:rFonts w:ascii="Arial" w:hAnsi="Arial" w:cs="Arial" w:hint="eastAsia"/>
          <w:b/>
          <w:bCs/>
          <w:spacing w:val="7"/>
          <w:sz w:val="24"/>
          <w:szCs w:val="24"/>
        </w:rPr>
      </w:pPr>
      <w:r>
        <w:rPr>
          <w:rFonts w:ascii="Arial" w:hAnsi="Arial" w:cs="Arial" w:hint="eastAsia"/>
          <w:b/>
          <w:bCs/>
          <w:color w:val="000000"/>
          <w:sz w:val="24"/>
          <w:szCs w:val="24"/>
          <w:shd w:val="clear" w:color="auto" w:fill="FFFFFF"/>
        </w:rPr>
        <w:t>a</w:t>
      </w:r>
      <w: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Strategy for generating a humanized DMD mouse model. CRISPR-Cas9 editing was employed to delete human </w:t>
      </w:r>
      <w:r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DMD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exon54. </w:t>
      </w:r>
      <w: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b.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RT-PCR analysis of TA muscles to validate deletion of human exon 54. </w:t>
      </w:r>
      <w: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c.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Dystrophin immunohistochemistry from indicated muscles of WT and DMD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ΔE54 mdx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mice. Dystrophin (Abcam, ab15277) and spectrin (Millipore, MAB1622) are shown in green and mangenta, respectively. </w:t>
      </w:r>
      <w:r>
        <w:rPr>
          <w:rFonts w:ascii="Arial" w:hAnsi="Arial" w:cs="Arial" w:hint="eastAsia"/>
          <w:b/>
          <w:bCs/>
          <w:color w:val="000000"/>
          <w:sz w:val="24"/>
          <w:szCs w:val="24"/>
          <w:shd w:val="clear" w:color="auto" w:fill="FFFFFF"/>
        </w:rPr>
        <w:t>d</w:t>
      </w:r>
      <w: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Western blot confirming the absence of dystrophin (Sigma, D8168) in indicated muscle tissues. </w:t>
      </w:r>
      <w: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f.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Serum CK, a marker of muscle damage and membrane leakage, was measured in WT and DMD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ΔE54 mdx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mice (n=6).</w:t>
      </w:r>
      <w:r>
        <w:rPr>
          <w:rFonts w:ascii="Arial" w:hAnsi="Arial" w:cs="Arial" w:hint="eastAsia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 w:hint="eastAsia"/>
          <w:b/>
          <w:bCs/>
          <w:color w:val="000000"/>
          <w:sz w:val="24"/>
          <w:szCs w:val="24"/>
          <w:shd w:val="clear" w:color="auto" w:fill="FFFFFF"/>
        </w:rPr>
        <w:t>e</w:t>
      </w:r>
      <w: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Sirius red staining and HE staining of TA, DI, and heart muscle of WT and DMD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ΔE54 mdx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mice. </w:t>
      </w:r>
      <w: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g.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WT and DMD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ΔE54 mdx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mice were subjected to forelimb grip strength testing to measure muscle performance (n=6). All mice were 4 weeks old at the time of the experiment. Data are represented as mean ± s.e.m. Each dot represents an individual mouse. **</w:t>
      </w:r>
      <w:r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&lt; 0.05 using unpaired two-tailed Student’s t test. Scale bar, 100 μm.</w:t>
      </w:r>
    </w:p>
    <w:p w14:paraId="7F6DF30C" w14:textId="77777777" w:rsidR="00D579D0" w:rsidRDefault="00D579D0" w:rsidP="00D579D0">
      <w:pPr>
        <w:widowControl/>
        <w:rPr>
          <w:rFonts w:ascii="Arial" w:hAnsi="Arial" w:cs="Arial" w:hint="eastAsia"/>
          <w:b/>
          <w:bCs/>
          <w:spacing w:val="7"/>
          <w:sz w:val="24"/>
          <w:szCs w:val="24"/>
        </w:rPr>
      </w:pPr>
    </w:p>
    <w:p w14:paraId="6A7CDC86" w14:textId="77777777" w:rsidR="00755780" w:rsidRDefault="00755780"/>
    <w:sectPr w:rsidR="00755780" w:rsidSect="00F83057">
      <w:footerReference w:type="default" r:id="rId11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20FF7" w14:textId="77777777" w:rsidR="00000000" w:rsidRDefault="00000000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zh-CN" w:eastAsia="en-US"/>
      </w:rPr>
      <w:t>9</w:t>
    </w:r>
    <w:r>
      <w:fldChar w:fldCharType="end"/>
    </w:r>
  </w:p>
  <w:p w14:paraId="27FB5345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9D0"/>
    <w:rsid w:val="00755780"/>
    <w:rsid w:val="00857596"/>
    <w:rsid w:val="00D579D0"/>
    <w:rsid w:val="00F8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913BE"/>
  <w15:chartTrackingRefBased/>
  <w15:docId w15:val="{397FB4DF-89F1-4B37-B881-0342894BB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79D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579D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579D0"/>
    <w:rPr>
      <w:rFonts w:ascii="Times New Roman" w:eastAsia="SimSun" w:hAnsi="Times New Roman" w:cs="Times New Roman"/>
      <w:kern w:val="0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D579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378</Words>
  <Characters>2159</Characters>
  <Application>Microsoft Office Word</Application>
  <DocSecurity>0</DocSecurity>
  <Lines>17</Lines>
  <Paragraphs>5</Paragraphs>
  <ScaleCrop>false</ScaleCrop>
  <Company>Springer Nature</Company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2024-02-27T05:35:00Z</dcterms:created>
  <dcterms:modified xsi:type="dcterms:W3CDTF">2024-02-27T05:35:00Z</dcterms:modified>
</cp:coreProperties>
</file>