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CAF33F" w14:textId="11C2248B" w:rsidR="00D715EE" w:rsidRPr="00C51D0E" w:rsidRDefault="00F30458">
      <w:pPr>
        <w:rPr>
          <w:rFonts w:ascii="Arial" w:hAnsi="Arial" w:cs="Arial"/>
          <w:b/>
          <w:bCs/>
          <w:sz w:val="20"/>
          <w:szCs w:val="20"/>
        </w:rPr>
      </w:pPr>
      <w:bookmarkStart w:id="0" w:name="OLE_LINK162"/>
      <w:r w:rsidRPr="00C51D0E">
        <w:rPr>
          <w:rFonts w:ascii="Arial" w:hAnsi="Arial" w:cs="Arial"/>
          <w:b/>
          <w:bCs/>
          <w:sz w:val="20"/>
          <w:szCs w:val="20"/>
        </w:rPr>
        <w:t>T</w:t>
      </w:r>
      <w:r w:rsidRPr="00C51D0E">
        <w:rPr>
          <w:rFonts w:ascii="Arial" w:hAnsi="Arial" w:cs="Arial" w:hint="eastAsia"/>
          <w:b/>
          <w:bCs/>
          <w:sz w:val="20"/>
          <w:szCs w:val="20"/>
        </w:rPr>
        <w:t>able</w:t>
      </w:r>
      <w:r w:rsidRPr="00C51D0E">
        <w:rPr>
          <w:rFonts w:ascii="Arial" w:hAnsi="Arial" w:cs="Arial"/>
          <w:b/>
          <w:bCs/>
          <w:sz w:val="20"/>
          <w:szCs w:val="20"/>
        </w:rPr>
        <w:t xml:space="preserve"> S1. </w:t>
      </w:r>
      <w:r w:rsidR="00D715EE" w:rsidRPr="00C51D0E">
        <w:rPr>
          <w:rFonts w:ascii="Arial" w:hAnsi="Arial" w:cs="Arial"/>
          <w:b/>
          <w:bCs/>
          <w:sz w:val="20"/>
          <w:szCs w:val="20"/>
        </w:rPr>
        <w:t>KEGG of intestine vs</w:t>
      </w:r>
      <w:r w:rsidR="00D715EE" w:rsidRPr="00C51D0E">
        <w:rPr>
          <w:rFonts w:ascii="Arial" w:hAnsi="Arial" w:cs="Arial" w:hint="eastAsia"/>
          <w:b/>
          <w:bCs/>
          <w:sz w:val="20"/>
          <w:szCs w:val="20"/>
        </w:rPr>
        <w:t xml:space="preserve"> </w:t>
      </w:r>
      <w:r w:rsidR="00D715EE" w:rsidRPr="00C51D0E">
        <w:rPr>
          <w:rFonts w:ascii="Arial" w:hAnsi="Arial" w:cs="Arial"/>
          <w:b/>
          <w:bCs/>
          <w:sz w:val="20"/>
          <w:szCs w:val="20"/>
        </w:rPr>
        <w:t>liver at 3mpf</w:t>
      </w:r>
      <w:bookmarkStart w:id="1" w:name="OLE_LINK166"/>
      <w:r w:rsidR="00DF3C6D" w:rsidRPr="00C51D0E">
        <w:rPr>
          <w:rFonts w:ascii="Arial" w:hAnsi="Arial" w:cs="Arial"/>
          <w:b/>
          <w:bCs/>
          <w:sz w:val="20"/>
          <w:szCs w:val="20"/>
        </w:rPr>
        <w:t xml:space="preserve"> </w:t>
      </w:r>
      <w:bookmarkStart w:id="2" w:name="OLE_LINK167"/>
      <w:r w:rsidR="00DF3C6D" w:rsidRPr="00C51D0E">
        <w:rPr>
          <w:rFonts w:ascii="Arial" w:hAnsi="Arial" w:cs="Arial"/>
          <w:b/>
          <w:bCs/>
          <w:sz w:val="20"/>
          <w:szCs w:val="20"/>
        </w:rPr>
        <w:t>(top 2000 of up-regula</w:t>
      </w:r>
      <w:bookmarkEnd w:id="1"/>
      <w:r w:rsidR="00DF3C6D" w:rsidRPr="00C51D0E">
        <w:rPr>
          <w:rFonts w:ascii="Arial" w:hAnsi="Arial" w:cs="Arial"/>
          <w:b/>
          <w:bCs/>
          <w:sz w:val="20"/>
          <w:szCs w:val="20"/>
        </w:rPr>
        <w:t>tion gene)</w:t>
      </w:r>
      <w:bookmarkEnd w:id="2"/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3961"/>
        <w:gridCol w:w="1206"/>
        <w:gridCol w:w="1247"/>
        <w:gridCol w:w="1843"/>
      </w:tblGrid>
      <w:tr w:rsidR="00D715EE" w:rsidRPr="00DF3C6D" w14:paraId="3B07E5C8" w14:textId="77777777" w:rsidTr="00D715EE">
        <w:trPr>
          <w:trHeight w:val="280"/>
          <w:jc w:val="center"/>
        </w:trPr>
        <w:tc>
          <w:tcPr>
            <w:tcW w:w="3961" w:type="dxa"/>
            <w:noWrap/>
            <w:hideMark/>
          </w:tcPr>
          <w:bookmarkEnd w:id="0"/>
          <w:p w14:paraId="3A039772" w14:textId="033598A9" w:rsidR="00D715EE" w:rsidRPr="00DF3C6D" w:rsidRDefault="00D715EE" w:rsidP="00D715E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DF3C6D">
              <w:rPr>
                <w:rFonts w:ascii="Arial" w:hAnsi="Arial" w:cs="Arial"/>
                <w:b/>
                <w:bCs/>
                <w:sz w:val="18"/>
                <w:szCs w:val="18"/>
              </w:rPr>
              <w:t>pathway</w:t>
            </w:r>
          </w:p>
        </w:tc>
        <w:tc>
          <w:tcPr>
            <w:tcW w:w="1206" w:type="dxa"/>
            <w:noWrap/>
            <w:hideMark/>
          </w:tcPr>
          <w:p w14:paraId="36D5C562" w14:textId="77777777" w:rsidR="00D715EE" w:rsidRPr="00DF3C6D" w:rsidRDefault="00D715E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DF3C6D">
              <w:rPr>
                <w:rFonts w:ascii="Arial" w:hAnsi="Arial" w:cs="Arial"/>
                <w:b/>
                <w:bCs/>
                <w:sz w:val="18"/>
                <w:szCs w:val="18"/>
              </w:rPr>
              <w:t>observed gene count</w:t>
            </w:r>
          </w:p>
        </w:tc>
        <w:tc>
          <w:tcPr>
            <w:tcW w:w="1207" w:type="dxa"/>
            <w:noWrap/>
            <w:hideMark/>
          </w:tcPr>
          <w:p w14:paraId="420219B1" w14:textId="77777777" w:rsidR="00D715EE" w:rsidRPr="00DF3C6D" w:rsidRDefault="00D715E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DF3C6D">
              <w:rPr>
                <w:rFonts w:ascii="Arial" w:hAnsi="Arial" w:cs="Arial"/>
                <w:b/>
                <w:bCs/>
                <w:sz w:val="18"/>
                <w:szCs w:val="18"/>
              </w:rPr>
              <w:t>background gene count</w:t>
            </w:r>
          </w:p>
        </w:tc>
        <w:tc>
          <w:tcPr>
            <w:tcW w:w="1843" w:type="dxa"/>
            <w:noWrap/>
            <w:hideMark/>
          </w:tcPr>
          <w:p w14:paraId="578F99B0" w14:textId="56EE2732" w:rsidR="00D715EE" w:rsidRPr="00DF3C6D" w:rsidRDefault="00EE302A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DF3C6D">
              <w:rPr>
                <w:rFonts w:ascii="Arial" w:hAnsi="Arial" w:cs="Arial"/>
                <w:b/>
                <w:bCs/>
                <w:sz w:val="18"/>
                <w:szCs w:val="18"/>
              </w:rPr>
              <w:t>F</w:t>
            </w:r>
            <w:r w:rsidR="00D715EE" w:rsidRPr="00DF3C6D">
              <w:rPr>
                <w:rFonts w:ascii="Arial" w:hAnsi="Arial" w:cs="Arial"/>
                <w:b/>
                <w:bCs/>
                <w:sz w:val="18"/>
                <w:szCs w:val="18"/>
              </w:rPr>
              <w:t>alse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 w:rsidR="00D715EE" w:rsidRPr="00DF3C6D">
              <w:rPr>
                <w:rFonts w:ascii="Arial" w:hAnsi="Arial" w:cs="Arial"/>
                <w:b/>
                <w:bCs/>
                <w:sz w:val="18"/>
                <w:szCs w:val="18"/>
              </w:rPr>
              <w:t>discovery rate</w:t>
            </w:r>
          </w:p>
        </w:tc>
      </w:tr>
      <w:tr w:rsidR="00D715EE" w:rsidRPr="00D715EE" w14:paraId="62DD5918" w14:textId="77777777" w:rsidTr="00D715EE">
        <w:trPr>
          <w:trHeight w:val="280"/>
          <w:jc w:val="center"/>
        </w:trPr>
        <w:tc>
          <w:tcPr>
            <w:tcW w:w="3961" w:type="dxa"/>
            <w:noWrap/>
            <w:hideMark/>
          </w:tcPr>
          <w:p w14:paraId="3906F243" w14:textId="77777777" w:rsidR="00D715EE" w:rsidRPr="00D715EE" w:rsidRDefault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Cytokine-cytokine receptor interaction</w:t>
            </w:r>
          </w:p>
        </w:tc>
        <w:tc>
          <w:tcPr>
            <w:tcW w:w="1206" w:type="dxa"/>
            <w:noWrap/>
            <w:hideMark/>
          </w:tcPr>
          <w:p w14:paraId="5A88CE8D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42</w:t>
            </w:r>
          </w:p>
        </w:tc>
        <w:tc>
          <w:tcPr>
            <w:tcW w:w="1207" w:type="dxa"/>
            <w:noWrap/>
            <w:hideMark/>
          </w:tcPr>
          <w:p w14:paraId="4D68EBBC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185</w:t>
            </w:r>
          </w:p>
        </w:tc>
        <w:tc>
          <w:tcPr>
            <w:tcW w:w="1843" w:type="dxa"/>
            <w:noWrap/>
            <w:hideMark/>
          </w:tcPr>
          <w:p w14:paraId="2454C384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3.50E-08</w:t>
            </w:r>
          </w:p>
        </w:tc>
      </w:tr>
      <w:tr w:rsidR="00D715EE" w:rsidRPr="00D715EE" w14:paraId="6BC642BB" w14:textId="77777777" w:rsidTr="00D715EE">
        <w:trPr>
          <w:trHeight w:val="280"/>
          <w:jc w:val="center"/>
        </w:trPr>
        <w:tc>
          <w:tcPr>
            <w:tcW w:w="3961" w:type="dxa"/>
            <w:noWrap/>
            <w:hideMark/>
          </w:tcPr>
          <w:p w14:paraId="60AFEC1F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Mucin type O-glycan biosynthesis</w:t>
            </w:r>
          </w:p>
        </w:tc>
        <w:tc>
          <w:tcPr>
            <w:tcW w:w="1206" w:type="dxa"/>
            <w:noWrap/>
            <w:hideMark/>
          </w:tcPr>
          <w:p w14:paraId="58024B82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13</w:t>
            </w:r>
          </w:p>
        </w:tc>
        <w:tc>
          <w:tcPr>
            <w:tcW w:w="1207" w:type="dxa"/>
            <w:noWrap/>
            <w:hideMark/>
          </w:tcPr>
          <w:p w14:paraId="6B17A9CB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34</w:t>
            </w:r>
          </w:p>
        </w:tc>
        <w:tc>
          <w:tcPr>
            <w:tcW w:w="1843" w:type="dxa"/>
            <w:noWrap/>
            <w:hideMark/>
          </w:tcPr>
          <w:p w14:paraId="0D1B4F84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0.00033</w:t>
            </w:r>
          </w:p>
        </w:tc>
      </w:tr>
      <w:tr w:rsidR="00D715EE" w:rsidRPr="00D715EE" w14:paraId="50A53237" w14:textId="77777777" w:rsidTr="00D715EE">
        <w:trPr>
          <w:trHeight w:val="280"/>
          <w:jc w:val="center"/>
        </w:trPr>
        <w:tc>
          <w:tcPr>
            <w:tcW w:w="3961" w:type="dxa"/>
            <w:noWrap/>
            <w:hideMark/>
          </w:tcPr>
          <w:p w14:paraId="2FFB0096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Other types of O-glycan biosynthesis</w:t>
            </w:r>
          </w:p>
        </w:tc>
        <w:tc>
          <w:tcPr>
            <w:tcW w:w="1206" w:type="dxa"/>
            <w:noWrap/>
            <w:hideMark/>
          </w:tcPr>
          <w:p w14:paraId="4B524FAF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1207" w:type="dxa"/>
            <w:noWrap/>
            <w:hideMark/>
          </w:tcPr>
          <w:p w14:paraId="2FC7DA92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57</w:t>
            </w:r>
          </w:p>
        </w:tc>
        <w:tc>
          <w:tcPr>
            <w:tcW w:w="1843" w:type="dxa"/>
            <w:noWrap/>
            <w:hideMark/>
          </w:tcPr>
          <w:p w14:paraId="523EDCB0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0.0018</w:t>
            </w:r>
          </w:p>
        </w:tc>
      </w:tr>
      <w:tr w:rsidR="00D715EE" w:rsidRPr="00D715EE" w14:paraId="41C95299" w14:textId="77777777" w:rsidTr="00D715EE">
        <w:trPr>
          <w:trHeight w:val="280"/>
          <w:jc w:val="center"/>
        </w:trPr>
        <w:tc>
          <w:tcPr>
            <w:tcW w:w="3961" w:type="dxa"/>
            <w:noWrap/>
            <w:hideMark/>
          </w:tcPr>
          <w:p w14:paraId="6C843F7F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Amino sugar and nucleotide sugar metabolism</w:t>
            </w:r>
          </w:p>
        </w:tc>
        <w:tc>
          <w:tcPr>
            <w:tcW w:w="1206" w:type="dxa"/>
            <w:noWrap/>
            <w:hideMark/>
          </w:tcPr>
          <w:p w14:paraId="2884CAF9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13</w:t>
            </w:r>
          </w:p>
        </w:tc>
        <w:tc>
          <w:tcPr>
            <w:tcW w:w="1207" w:type="dxa"/>
            <w:noWrap/>
            <w:hideMark/>
          </w:tcPr>
          <w:p w14:paraId="096B723A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60</w:t>
            </w:r>
          </w:p>
        </w:tc>
        <w:tc>
          <w:tcPr>
            <w:tcW w:w="1843" w:type="dxa"/>
            <w:noWrap/>
            <w:hideMark/>
          </w:tcPr>
          <w:p w14:paraId="62D5DE98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0.0224</w:t>
            </w:r>
          </w:p>
        </w:tc>
      </w:tr>
      <w:tr w:rsidR="00D715EE" w:rsidRPr="00D715EE" w14:paraId="0B7DC080" w14:textId="77777777" w:rsidTr="00D715EE">
        <w:trPr>
          <w:trHeight w:val="280"/>
          <w:jc w:val="center"/>
        </w:trPr>
        <w:tc>
          <w:tcPr>
            <w:tcW w:w="3961" w:type="dxa"/>
            <w:noWrap/>
            <w:hideMark/>
          </w:tcPr>
          <w:p w14:paraId="63728834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Adrenergic signaling in cardiomyocytes</w:t>
            </w:r>
          </w:p>
        </w:tc>
        <w:tc>
          <w:tcPr>
            <w:tcW w:w="1206" w:type="dxa"/>
            <w:noWrap/>
            <w:hideMark/>
          </w:tcPr>
          <w:p w14:paraId="3BE01DD0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28</w:t>
            </w:r>
          </w:p>
        </w:tc>
        <w:tc>
          <w:tcPr>
            <w:tcW w:w="1207" w:type="dxa"/>
            <w:noWrap/>
            <w:hideMark/>
          </w:tcPr>
          <w:p w14:paraId="1FE4961F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206</w:t>
            </w:r>
          </w:p>
        </w:tc>
        <w:tc>
          <w:tcPr>
            <w:tcW w:w="1843" w:type="dxa"/>
            <w:noWrap/>
            <w:hideMark/>
          </w:tcPr>
          <w:p w14:paraId="3D98017C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0.0249</w:t>
            </w:r>
          </w:p>
        </w:tc>
      </w:tr>
      <w:tr w:rsidR="00D715EE" w:rsidRPr="00D715EE" w14:paraId="40AD9A24" w14:textId="77777777" w:rsidTr="00D715EE">
        <w:trPr>
          <w:trHeight w:val="280"/>
          <w:jc w:val="center"/>
        </w:trPr>
        <w:tc>
          <w:tcPr>
            <w:tcW w:w="3961" w:type="dxa"/>
            <w:noWrap/>
            <w:hideMark/>
          </w:tcPr>
          <w:p w14:paraId="724EA8CB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Cardiac muscle contraction</w:t>
            </w:r>
          </w:p>
        </w:tc>
        <w:tc>
          <w:tcPr>
            <w:tcW w:w="1206" w:type="dxa"/>
            <w:noWrap/>
            <w:hideMark/>
          </w:tcPr>
          <w:p w14:paraId="4EAE59B9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1207" w:type="dxa"/>
            <w:noWrap/>
            <w:hideMark/>
          </w:tcPr>
          <w:p w14:paraId="11B4F04B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129</w:t>
            </w:r>
          </w:p>
        </w:tc>
        <w:tc>
          <w:tcPr>
            <w:tcW w:w="1843" w:type="dxa"/>
            <w:noWrap/>
            <w:hideMark/>
          </w:tcPr>
          <w:p w14:paraId="0B651A46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0.0278</w:t>
            </w:r>
          </w:p>
        </w:tc>
      </w:tr>
      <w:tr w:rsidR="00D715EE" w:rsidRPr="00D715EE" w14:paraId="417708B9" w14:textId="77777777" w:rsidTr="00D715EE">
        <w:trPr>
          <w:trHeight w:val="280"/>
          <w:jc w:val="center"/>
        </w:trPr>
        <w:tc>
          <w:tcPr>
            <w:tcW w:w="3961" w:type="dxa"/>
            <w:noWrap/>
            <w:hideMark/>
          </w:tcPr>
          <w:p w14:paraId="5EFF1F15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Calcium signaling pathway</w:t>
            </w:r>
          </w:p>
        </w:tc>
        <w:tc>
          <w:tcPr>
            <w:tcW w:w="1206" w:type="dxa"/>
            <w:noWrap/>
            <w:hideMark/>
          </w:tcPr>
          <w:p w14:paraId="7C5857D2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34</w:t>
            </w:r>
          </w:p>
        </w:tc>
        <w:tc>
          <w:tcPr>
            <w:tcW w:w="1207" w:type="dxa"/>
            <w:noWrap/>
            <w:hideMark/>
          </w:tcPr>
          <w:p w14:paraId="642E0268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284</w:t>
            </w:r>
          </w:p>
        </w:tc>
        <w:tc>
          <w:tcPr>
            <w:tcW w:w="1843" w:type="dxa"/>
            <w:noWrap/>
            <w:hideMark/>
          </w:tcPr>
          <w:p w14:paraId="4CB4719A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0.0385</w:t>
            </w:r>
          </w:p>
        </w:tc>
      </w:tr>
      <w:tr w:rsidR="00D715EE" w:rsidRPr="00D715EE" w14:paraId="1FB5729B" w14:textId="77777777" w:rsidTr="00D715EE">
        <w:trPr>
          <w:trHeight w:val="280"/>
          <w:jc w:val="center"/>
        </w:trPr>
        <w:tc>
          <w:tcPr>
            <w:tcW w:w="3961" w:type="dxa"/>
            <w:noWrap/>
            <w:hideMark/>
          </w:tcPr>
          <w:p w14:paraId="0E966AA4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Regulation of actin cytoskeleton</w:t>
            </w:r>
          </w:p>
        </w:tc>
        <w:tc>
          <w:tcPr>
            <w:tcW w:w="1206" w:type="dxa"/>
            <w:noWrap/>
            <w:hideMark/>
          </w:tcPr>
          <w:p w14:paraId="3B85C95B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33</w:t>
            </w:r>
          </w:p>
        </w:tc>
        <w:tc>
          <w:tcPr>
            <w:tcW w:w="1207" w:type="dxa"/>
            <w:noWrap/>
            <w:hideMark/>
          </w:tcPr>
          <w:p w14:paraId="168A6F3E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273</w:t>
            </w:r>
          </w:p>
        </w:tc>
        <w:tc>
          <w:tcPr>
            <w:tcW w:w="1843" w:type="dxa"/>
            <w:noWrap/>
            <w:hideMark/>
          </w:tcPr>
          <w:p w14:paraId="709859AF" w14:textId="77777777" w:rsidR="00D715EE" w:rsidRPr="00D715EE" w:rsidRDefault="00D715EE" w:rsidP="00D715EE">
            <w:pPr>
              <w:rPr>
                <w:rFonts w:ascii="Arial" w:hAnsi="Arial" w:cs="Arial"/>
                <w:sz w:val="18"/>
                <w:szCs w:val="18"/>
              </w:rPr>
            </w:pPr>
            <w:r w:rsidRPr="00D715EE">
              <w:rPr>
                <w:rFonts w:ascii="Arial" w:hAnsi="Arial" w:cs="Arial"/>
                <w:sz w:val="18"/>
                <w:szCs w:val="18"/>
              </w:rPr>
              <w:t>0.0385</w:t>
            </w:r>
          </w:p>
        </w:tc>
      </w:tr>
    </w:tbl>
    <w:p w14:paraId="1B68CAD3" w14:textId="11807C7D" w:rsidR="00D715EE" w:rsidRPr="00FD5CB5" w:rsidRDefault="00D715EE">
      <w:pPr>
        <w:rPr>
          <w:rFonts w:ascii="Arial" w:hAnsi="Arial" w:cs="Arial" w:hint="eastAsia"/>
          <w:b/>
          <w:bCs/>
          <w:sz w:val="20"/>
          <w:szCs w:val="20"/>
        </w:rPr>
      </w:pPr>
    </w:p>
    <w:sectPr w:rsidR="00D715EE" w:rsidRPr="00FD5C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4525CA" w14:textId="77777777" w:rsidR="00311D9A" w:rsidRDefault="00311D9A" w:rsidP="00D715EE">
      <w:r>
        <w:separator/>
      </w:r>
    </w:p>
  </w:endnote>
  <w:endnote w:type="continuationSeparator" w:id="0">
    <w:p w14:paraId="57A9C43B" w14:textId="77777777" w:rsidR="00311D9A" w:rsidRDefault="00311D9A" w:rsidP="00D715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EA0DBA" w14:textId="77777777" w:rsidR="00311D9A" w:rsidRDefault="00311D9A" w:rsidP="00D715EE">
      <w:r>
        <w:separator/>
      </w:r>
    </w:p>
  </w:footnote>
  <w:footnote w:type="continuationSeparator" w:id="0">
    <w:p w14:paraId="57BA7549" w14:textId="77777777" w:rsidR="00311D9A" w:rsidRDefault="00311D9A" w:rsidP="00D715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1BF"/>
    <w:rsid w:val="00225AC8"/>
    <w:rsid w:val="00311D9A"/>
    <w:rsid w:val="00505C2D"/>
    <w:rsid w:val="005F4FA0"/>
    <w:rsid w:val="00B248AE"/>
    <w:rsid w:val="00B64E0D"/>
    <w:rsid w:val="00BD43DC"/>
    <w:rsid w:val="00C51D0E"/>
    <w:rsid w:val="00D715EE"/>
    <w:rsid w:val="00DB451F"/>
    <w:rsid w:val="00DF3C6D"/>
    <w:rsid w:val="00EE302A"/>
    <w:rsid w:val="00F30458"/>
    <w:rsid w:val="00FC61BF"/>
    <w:rsid w:val="00FD5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16CEAE"/>
  <w15:chartTrackingRefBased/>
  <w15:docId w15:val="{0D58AF7E-3869-4737-B87D-85A34D94E8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715E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715E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715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715EE"/>
    <w:rPr>
      <w:sz w:val="18"/>
      <w:szCs w:val="18"/>
    </w:rPr>
  </w:style>
  <w:style w:type="table" w:styleId="a7">
    <w:name w:val="Table Grid"/>
    <w:basedOn w:val="a1"/>
    <w:uiPriority w:val="39"/>
    <w:rsid w:val="00D715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8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6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14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0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09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1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7CF363-854D-4A03-8B83-823D906C63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81</Words>
  <Characters>468</Characters>
  <Application>Microsoft Office Word</Application>
  <DocSecurity>0</DocSecurity>
  <Lines>3</Lines>
  <Paragraphs>1</Paragraphs>
  <ScaleCrop>false</ScaleCrop>
  <Company/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正芳</dc:creator>
  <cp:keywords/>
  <dc:description/>
  <cp:lastModifiedBy>正芳 陈</cp:lastModifiedBy>
  <cp:revision>8</cp:revision>
  <dcterms:created xsi:type="dcterms:W3CDTF">2023-08-21T02:22:00Z</dcterms:created>
  <dcterms:modified xsi:type="dcterms:W3CDTF">2024-01-16T11:27:00Z</dcterms:modified>
</cp:coreProperties>
</file>