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CED49" w14:textId="52066C52" w:rsidR="005C18BF" w:rsidRDefault="00152446">
      <w:pPr>
        <w:rPr>
          <w:b/>
          <w:bCs/>
        </w:rPr>
      </w:pPr>
      <w:r w:rsidRPr="00152446">
        <w:rPr>
          <w:b/>
          <w:bCs/>
        </w:rPr>
        <w:t>Supplementary Methods</w:t>
      </w:r>
    </w:p>
    <w:p w14:paraId="47851E86" w14:textId="4FD183A1" w:rsidR="001D5279" w:rsidRDefault="00152446">
      <w:pPr>
        <w:rPr>
          <w:i/>
          <w:iCs/>
        </w:rPr>
      </w:pPr>
      <w:r w:rsidRPr="00152446">
        <w:rPr>
          <w:i/>
          <w:iCs/>
        </w:rPr>
        <w:t>Codelist Development</w:t>
      </w:r>
    </w:p>
    <w:p w14:paraId="7206B717" w14:textId="083E0B5D" w:rsidR="00661EBF" w:rsidRDefault="00F4760F" w:rsidP="005417C6">
      <w:pPr>
        <w:ind w:left="-270"/>
        <w:rPr>
          <w:rFonts w:ascii="Calibri" w:eastAsia="Calibri" w:hAnsi="Calibri" w:cs="Calibri"/>
        </w:rPr>
      </w:pPr>
      <w:r>
        <w:rPr>
          <w:noProof/>
        </w:rPr>
        <mc:AlternateContent>
          <mc:Choice Requires="wps">
            <w:drawing>
              <wp:anchor distT="0" distB="0" distL="114300" distR="114300" simplePos="0" relativeHeight="251663360" behindDoc="0" locked="0" layoutInCell="1" allowOverlap="1" wp14:anchorId="5427CC5F" wp14:editId="57C526EF">
                <wp:simplePos x="0" y="0"/>
                <wp:positionH relativeFrom="column">
                  <wp:posOffset>-95250</wp:posOffset>
                </wp:positionH>
                <wp:positionV relativeFrom="paragraph">
                  <wp:posOffset>3423285</wp:posOffset>
                </wp:positionV>
                <wp:extent cx="512445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124450" cy="635"/>
                        </a:xfrm>
                        <a:prstGeom prst="rect">
                          <a:avLst/>
                        </a:prstGeom>
                        <a:solidFill>
                          <a:prstClr val="white"/>
                        </a:solidFill>
                        <a:ln>
                          <a:noFill/>
                        </a:ln>
                      </wps:spPr>
                      <wps:txbx>
                        <w:txbxContent>
                          <w:p w14:paraId="69098061" w14:textId="08644053" w:rsidR="00F4760F" w:rsidRPr="004B69AF" w:rsidRDefault="00F4760F" w:rsidP="00F4760F">
                            <w:pPr>
                              <w:pStyle w:val="Caption"/>
                              <w:rPr>
                                <w:rFonts w:ascii="Calibri" w:eastAsia="Calibri" w:hAnsi="Calibri" w:cs="Calibri"/>
                                <w:noProof/>
                              </w:rPr>
                            </w:pPr>
                            <w:r>
                              <w:t xml:space="preserve">Figure </w:t>
                            </w:r>
                            <w:r w:rsidR="00B240EF">
                              <w:t>S4</w:t>
                            </w:r>
                            <w:r>
                              <w:t>: dummy data extract from UKB GP clinical records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27CC5F" id="_x0000_t202" coordsize="21600,21600" o:spt="202" path="m,l,21600r21600,l21600,xe">
                <v:stroke joinstyle="miter"/>
                <v:path gradientshapeok="t" o:connecttype="rect"/>
              </v:shapetype>
              <v:shape id="Text Box 1" o:spid="_x0000_s1026" type="#_x0000_t202" style="position:absolute;left:0;text-align:left;margin-left:-7.5pt;margin-top:269.55pt;width:403.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" stroked="f">
                <v:textbox style="mso-fit-shape-to-text:t" inset="0,0,0,0">
                  <w:txbxContent>
                    <w:p w14:paraId="69098061" w14:textId="08644053" w:rsidR="00F4760F" w:rsidRPr="004B69AF" w:rsidRDefault="00F4760F" w:rsidP="00F4760F">
                      <w:pPr>
                        <w:pStyle w:val="Caption"/>
                        <w:rPr>
                          <w:rFonts w:ascii="Calibri" w:eastAsia="Calibri" w:hAnsi="Calibri" w:cs="Calibri"/>
                          <w:noProof/>
                        </w:rPr>
                      </w:pPr>
                      <w:r>
                        <w:t xml:space="preserve">Figure </w:t>
                      </w:r>
                      <w:r w:rsidR="00B240EF">
                        <w:t>S4</w:t>
                      </w:r>
                      <w:r>
                        <w:t>: dummy data extract from UKB GP clinical records</w:t>
                      </w:r>
                    </w:p>
                  </w:txbxContent>
                </v:textbox>
                <w10:wrap type="topAndBottom"/>
              </v:shape>
            </w:pict>
          </mc:Fallback>
        </mc:AlternateContent>
      </w:r>
      <w:r w:rsidR="00454247">
        <w:rPr>
          <w:rFonts w:ascii="Calibri" w:eastAsia="Calibri" w:hAnsi="Calibri" w:cs="Calibri"/>
          <w:noProof/>
        </w:rPr>
        <w:drawing>
          <wp:anchor distT="0" distB="0" distL="114300" distR="114300" simplePos="0" relativeHeight="251661312" behindDoc="0" locked="0" layoutInCell="1" allowOverlap="1" wp14:anchorId="225EE158" wp14:editId="6B98CE02">
            <wp:simplePos x="0" y="0"/>
            <wp:positionH relativeFrom="column">
              <wp:posOffset>-95250</wp:posOffset>
            </wp:positionH>
            <wp:positionV relativeFrom="paragraph">
              <wp:posOffset>1509395</wp:posOffset>
            </wp:positionV>
            <wp:extent cx="5124450" cy="18567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4450" cy="1856740"/>
                    </a:xfrm>
                    <a:prstGeom prst="rect">
                      <a:avLst/>
                    </a:prstGeom>
                    <a:noFill/>
                  </pic:spPr>
                </pic:pic>
              </a:graphicData>
            </a:graphic>
            <wp14:sizeRelH relativeFrom="margin">
              <wp14:pctWidth>0</wp14:pctWidth>
            </wp14:sizeRelH>
            <wp14:sizeRelV relativeFrom="margin">
              <wp14:pctHeight>0</wp14:pctHeight>
            </wp14:sizeRelV>
          </wp:anchor>
        </w:drawing>
      </w:r>
      <w:r w:rsidR="005417C6">
        <w:rPr>
          <w:rFonts w:ascii="Calibri" w:eastAsia="Calibri" w:hAnsi="Calibri" w:cs="Calibri"/>
        </w:rPr>
        <w:t xml:space="preserve">The primary care data </w:t>
      </w:r>
      <w:r w:rsidR="00481FA5">
        <w:rPr>
          <w:rFonts w:ascii="Calibri" w:eastAsia="Calibri" w:hAnsi="Calibri" w:cs="Calibri"/>
        </w:rPr>
        <w:t xml:space="preserve">(both GP clinical records and prescription record) </w:t>
      </w:r>
      <w:r w:rsidR="005417C6">
        <w:rPr>
          <w:rFonts w:ascii="Calibri" w:eastAsia="Calibri" w:hAnsi="Calibri" w:cs="Calibri"/>
        </w:rPr>
        <w:t xml:space="preserve">for the UKB is provided in a row-per-event format, where </w:t>
      </w:r>
      <w:proofErr w:type="gramStart"/>
      <w:r w:rsidR="005417C6">
        <w:rPr>
          <w:rFonts w:ascii="Calibri" w:eastAsia="Calibri" w:hAnsi="Calibri" w:cs="Calibri"/>
        </w:rPr>
        <w:t>each individual</w:t>
      </w:r>
      <w:proofErr w:type="gramEnd"/>
      <w:r w:rsidR="005417C6">
        <w:rPr>
          <w:rFonts w:ascii="Calibri" w:eastAsia="Calibri" w:hAnsi="Calibri" w:cs="Calibri"/>
        </w:rPr>
        <w:t xml:space="preserve"> may appear in the dataset multiple times, for different clinical events (see dummy data in Fig. S</w:t>
      </w:r>
      <w:r w:rsidR="00B240EF">
        <w:rPr>
          <w:rFonts w:ascii="Calibri" w:eastAsia="Calibri" w:hAnsi="Calibri" w:cs="Calibri"/>
        </w:rPr>
        <w:t>4</w:t>
      </w:r>
      <w:r w:rsidR="005417C6">
        <w:rPr>
          <w:rFonts w:ascii="Calibri" w:eastAsia="Calibri" w:hAnsi="Calibri" w:cs="Calibri"/>
        </w:rPr>
        <w:t xml:space="preserve">). For each event, the dataset provides the participant ID, the date the event was recorded, the data provider </w:t>
      </w:r>
      <w:r w:rsidR="00A51ED8">
        <w:rPr>
          <w:rFonts w:ascii="Calibri" w:eastAsia="Calibri" w:hAnsi="Calibri" w:cs="Calibri"/>
        </w:rPr>
        <w:t xml:space="preserve">(see Table S6) </w:t>
      </w:r>
      <w:r w:rsidR="005417C6">
        <w:rPr>
          <w:rFonts w:ascii="Calibri" w:eastAsia="Calibri" w:hAnsi="Calibri" w:cs="Calibri"/>
        </w:rPr>
        <w:t>and a code that defines the event type. By using a list that includes codes that describe a certain type of clinical occurrence (</w:t>
      </w:r>
      <w:r w:rsidR="005B71C1">
        <w:rPr>
          <w:rFonts w:ascii="Calibri" w:eastAsia="Calibri" w:hAnsi="Calibri" w:cs="Calibri"/>
        </w:rPr>
        <w:t>for example,</w:t>
      </w:r>
      <w:r w:rsidR="005417C6">
        <w:rPr>
          <w:rFonts w:ascii="Calibri" w:eastAsia="Calibri" w:hAnsi="Calibri" w:cs="Calibri"/>
        </w:rPr>
        <w:t xml:space="preserve"> </w:t>
      </w:r>
      <w:r w:rsidR="004F73B0">
        <w:rPr>
          <w:rFonts w:ascii="Calibri" w:eastAsia="Calibri" w:hAnsi="Calibri" w:cs="Calibri"/>
        </w:rPr>
        <w:t>hypertension or asthma)</w:t>
      </w:r>
      <w:r w:rsidR="005417C6">
        <w:rPr>
          <w:rFonts w:ascii="Calibri" w:eastAsia="Calibri" w:hAnsi="Calibri" w:cs="Calibri"/>
        </w:rPr>
        <w:t>, known as a “codelist”, the datasets can be queried to identify all events of that type.</w:t>
      </w:r>
      <w:r w:rsidR="001D5279">
        <w:rPr>
          <w:rFonts w:ascii="Calibri" w:eastAsia="Calibri" w:hAnsi="Calibri" w:cs="Calibri"/>
        </w:rPr>
        <w:t xml:space="preserve"> </w:t>
      </w:r>
    </w:p>
    <w:p w14:paraId="64891177" w14:textId="453D88A7" w:rsidR="005417C6" w:rsidRDefault="001D5279" w:rsidP="000F0E98">
      <w:pPr>
        <w:ind w:left="-270"/>
        <w:rPr>
          <w:rFonts w:ascii="Calibri" w:eastAsia="Calibri" w:hAnsi="Calibri" w:cs="Calibri"/>
        </w:rPr>
      </w:pPr>
      <w:r>
        <w:rPr>
          <w:rFonts w:ascii="Calibri" w:eastAsia="Calibri" w:hAnsi="Calibri" w:cs="Calibri"/>
        </w:rPr>
        <w:t>These</w:t>
      </w:r>
      <w:r w:rsidR="00BF3D12">
        <w:rPr>
          <w:rFonts w:ascii="Calibri" w:eastAsia="Calibri" w:hAnsi="Calibri" w:cs="Calibri"/>
        </w:rPr>
        <w:t xml:space="preserve"> </w:t>
      </w:r>
      <w:r w:rsidR="00773730">
        <w:rPr>
          <w:rFonts w:ascii="Calibri" w:eastAsia="Calibri" w:hAnsi="Calibri" w:cs="Calibri"/>
        </w:rPr>
        <w:t xml:space="preserve">coded </w:t>
      </w:r>
      <w:r w:rsidR="00BF3D12">
        <w:rPr>
          <w:rFonts w:ascii="Calibri" w:eastAsia="Calibri" w:hAnsi="Calibri" w:cs="Calibri"/>
        </w:rPr>
        <w:t>clinical</w:t>
      </w:r>
      <w:r>
        <w:rPr>
          <w:rFonts w:ascii="Calibri" w:eastAsia="Calibri" w:hAnsi="Calibri" w:cs="Calibri"/>
        </w:rPr>
        <w:t xml:space="preserve"> events include </w:t>
      </w:r>
      <w:r w:rsidR="00DC49B0">
        <w:rPr>
          <w:rFonts w:ascii="Calibri" w:eastAsia="Calibri" w:hAnsi="Calibri" w:cs="Calibri"/>
        </w:rPr>
        <w:t xml:space="preserve">symptoms, </w:t>
      </w:r>
      <w:r w:rsidR="00DB32A5">
        <w:rPr>
          <w:rFonts w:ascii="Calibri" w:eastAsia="Calibri" w:hAnsi="Calibri" w:cs="Calibri"/>
        </w:rPr>
        <w:t xml:space="preserve">diagnoses and test results (in the GP clinical records) as well as </w:t>
      </w:r>
      <w:r w:rsidR="00BF3D12">
        <w:rPr>
          <w:rFonts w:ascii="Calibri" w:eastAsia="Calibri" w:hAnsi="Calibri" w:cs="Calibri"/>
        </w:rPr>
        <w:t xml:space="preserve">medications prescribed (prescription records). </w:t>
      </w:r>
      <w:r w:rsidR="00773730">
        <w:rPr>
          <w:rFonts w:ascii="Calibri" w:eastAsia="Calibri" w:hAnsi="Calibri" w:cs="Calibri"/>
        </w:rPr>
        <w:t xml:space="preserve">Some events (for example, </w:t>
      </w:r>
      <w:r w:rsidR="00773730">
        <w:t>451F.</w:t>
      </w:r>
      <w:r w:rsidR="00773730">
        <w:rPr>
          <w:rFonts w:ascii="Calibri" w:eastAsia="Calibri" w:hAnsi="Calibri" w:cs="Calibri"/>
        </w:rPr>
        <w:t xml:space="preserve"> – “glomerular filtration rate”) also include a value field, which may provide additional useful information. </w:t>
      </w:r>
      <w:r w:rsidR="005B4AC0">
        <w:rPr>
          <w:rFonts w:ascii="Calibri" w:eastAsia="Calibri" w:hAnsi="Calibri" w:cs="Calibri"/>
        </w:rPr>
        <w:t>The data provided by UKB goes back as far as the 1980s for some participants. The most recent records provided are from 2016</w:t>
      </w:r>
      <w:r w:rsidR="00F31246">
        <w:rPr>
          <w:rFonts w:ascii="Calibri" w:eastAsia="Calibri" w:hAnsi="Calibri" w:cs="Calibri"/>
        </w:rPr>
        <w:t>-2017 (last linkage dat</w:t>
      </w:r>
      <w:r w:rsidR="000F0E98">
        <w:rPr>
          <w:rFonts w:ascii="Calibri" w:eastAsia="Calibri" w:hAnsi="Calibri" w:cs="Calibri"/>
        </w:rPr>
        <w:t>e</w:t>
      </w:r>
      <w:r w:rsidR="00F31246">
        <w:rPr>
          <w:rFonts w:ascii="Calibri" w:eastAsia="Calibri" w:hAnsi="Calibri" w:cs="Calibri"/>
        </w:rPr>
        <w:t xml:space="preserve"> varies by data provider, see Table S6). </w:t>
      </w:r>
    </w:p>
    <w:p w14:paraId="1D07120F" w14:textId="0EF46A42" w:rsidR="00BD5406" w:rsidRDefault="00A51ED8" w:rsidP="005417C6">
      <w:pPr>
        <w:ind w:left="-270"/>
        <w:rPr>
          <w:rFonts w:ascii="Calibri" w:eastAsia="Calibri" w:hAnsi="Calibri" w:cs="Calibri"/>
        </w:rPr>
      </w:pPr>
      <w:r>
        <w:rPr>
          <w:rFonts w:ascii="Calibri" w:eastAsia="Calibri" w:hAnsi="Calibri" w:cs="Calibri"/>
        </w:rPr>
        <w:t xml:space="preserve">We took codes for the 37 conditions used in the Cambridge multimorbidity </w:t>
      </w:r>
      <w:r w:rsidR="00A81B67">
        <w:rPr>
          <w:rFonts w:ascii="Calibri" w:eastAsia="Calibri" w:hAnsi="Calibri" w:cs="Calibri"/>
        </w:rPr>
        <w:t xml:space="preserve">score </w:t>
      </w:r>
      <w:r>
        <w:rPr>
          <w:rFonts w:ascii="Calibri" w:eastAsia="Calibri" w:hAnsi="Calibri" w:cs="Calibri"/>
        </w:rPr>
        <w:t>from the codelists published from the score development</w:t>
      </w:r>
      <w:r w:rsidR="00A81B67">
        <w:rPr>
          <w:rFonts w:ascii="Calibri" w:eastAsia="Calibri" w:hAnsi="Calibri" w:cs="Calibri"/>
        </w:rPr>
        <w:t xml:space="preserve"> study</w:t>
      </w:r>
      <w:r w:rsidR="004E3637">
        <w:rPr>
          <w:rFonts w:ascii="Calibri" w:eastAsia="Calibri" w:hAnsi="Calibri" w:cs="Calibri"/>
        </w:rPr>
        <w:t xml:space="preserve"> </w:t>
      </w:r>
      <w:r w:rsidR="004E3637">
        <w:fldChar w:fldCharType="begin">
          <w:fldData xml:space="preserve">PEVuZE5vdGU+PENpdGU+PEF1dGhvcj5QYXluZTwvQXV0aG9yPjxZZWFyPjIwMjA8L1llYXI+PFJl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</w:fldData>
        </w:fldChar>
      </w:r>
      <w:r w:rsidR="005E3407">
        <w:instrText xml:space="preserve"> ADDIN EN.CITE </w:instrText>
      </w:r>
      <w:r w:rsidR="005E3407">
        <w:fldChar w:fldCharType="begin">
          <w:fldData xml:space="preserve">PEVuZE5vdGU+PENpdGU+PEF1dGhvcj5QYXluZTwvQXV0aG9yPjxZZWFyPjIwMjA8L1llYXI+PFJl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</w:fldData>
        </w:fldChar>
      </w:r>
      <w:r w:rsidR="005E3407">
        <w:instrText xml:space="preserve"> ADDIN EN.CITE.DATA </w:instrText>
      </w:r>
      <w:r w:rsidR="005E3407">
        <w:fldChar w:fldCharType="end"/>
      </w:r>
      <w:r w:rsidR="004E3637">
        <w:fldChar w:fldCharType="separate"/>
      </w:r>
      <w:r w:rsidR="005E3407">
        <w:rPr>
          <w:noProof/>
        </w:rPr>
        <w:t>[1]</w:t>
      </w:r>
      <w:r w:rsidR="004E3637">
        <w:fldChar w:fldCharType="end"/>
      </w:r>
      <w:r w:rsidR="00A81B67">
        <w:rPr>
          <w:rFonts w:ascii="Calibri" w:eastAsia="Calibri" w:hAnsi="Calibri" w:cs="Calibri"/>
        </w:rPr>
        <w:t>, which are available online from CPRD@Cambridge</w:t>
      </w:r>
      <w:r w:rsidR="005E3407">
        <w:rPr>
          <w:rFonts w:ascii="Calibri" w:eastAsia="Calibri" w:hAnsi="Calibri" w:cs="Calibri"/>
        </w:rPr>
        <w:fldChar w:fldCharType="begin"/>
      </w:r>
      <w:r w:rsidR="005E3407">
        <w:rPr>
          <w:rFonts w:ascii="Calibri" w:eastAsia="Calibri" w:hAnsi="Calibri" w:cs="Calibri"/>
        </w:rPr>
        <w:instrText xml:space="preserve"> ADDIN EN.CITE &lt;EndNote&gt;&lt;Cite&gt;&lt;Author&gt;CPRD@Cambridge&lt;/Author&gt;&lt;RecNum&gt;37970&lt;/RecNum&gt;&lt;DisplayText&gt;[2]&lt;/DisplayText&gt;&lt;record&gt;&lt;rec-number&gt;37970&lt;/rec-number&gt;&lt;foreign-keys&gt;&lt;key app="EN" db-id="p90r0w0drderdoe5srwpd0t82xa5rva2r0ar" timestamp="1667235870"&gt;37970&lt;/key&gt;&lt;/foreign-keys&gt;&lt;ref-type name="Web Page"&gt;12&lt;/ref-type&gt;&lt;contributors&gt;&lt;authors&gt;&lt;author&gt;CPRD@Cambridge&lt;/author&gt;&lt;/authors&gt;&lt;/contributors&gt;&lt;titles&gt;&lt;title&gt;CPRD at Cambridge&lt;/title&gt;&lt;/titles&gt;&lt;dates&gt;&lt;/dates&gt;&lt;urls&gt;&lt;related-urls&gt;&lt;url&gt;https://www.phpc.cam.ac.uk/pcu/research/research-groups/crmh/cprd_cam/&lt;/url&gt;&lt;/related-urls&gt;&lt;/urls&gt;&lt;/record&gt;&lt;/Cite&gt;&lt;/EndNote&gt;</w:instrText>
      </w:r>
      <w:r w:rsidR="005E3407">
        <w:rPr>
          <w:rFonts w:ascii="Calibri" w:eastAsia="Calibri" w:hAnsi="Calibri" w:cs="Calibri"/>
        </w:rPr>
        <w:fldChar w:fldCharType="separate"/>
      </w:r>
      <w:r w:rsidR="005E3407">
        <w:rPr>
          <w:rFonts w:ascii="Calibri" w:eastAsia="Calibri" w:hAnsi="Calibri" w:cs="Calibri"/>
          <w:noProof/>
        </w:rPr>
        <w:t>[2]</w:t>
      </w:r>
      <w:r w:rsidR="005E3407">
        <w:rPr>
          <w:rFonts w:ascii="Calibri" w:eastAsia="Calibri" w:hAnsi="Calibri" w:cs="Calibri"/>
        </w:rPr>
        <w:fldChar w:fldCharType="end"/>
      </w:r>
      <w:r w:rsidR="003D18F3">
        <w:rPr>
          <w:rFonts w:ascii="Calibri" w:eastAsia="Calibri" w:hAnsi="Calibri" w:cs="Calibri"/>
        </w:rPr>
        <w:t xml:space="preserve">. </w:t>
      </w:r>
      <w:r w:rsidR="00EF4E13">
        <w:rPr>
          <w:rFonts w:ascii="Calibri" w:eastAsia="Calibri" w:hAnsi="Calibri" w:cs="Calibri"/>
        </w:rPr>
        <w:t xml:space="preserve">These codelists were developed by Payne et al. </w:t>
      </w:r>
      <w:r w:rsidR="005E3407">
        <w:fldChar w:fldCharType="begin">
          <w:fldData xml:space="preserve">PEVuZE5vdGU+PENpdGU+PEF1dGhvcj5QYXluZTwvQXV0aG9yPjxZZWFyPjIwMjA8L1llYXI+PFJl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</w:fldData>
        </w:fldChar>
      </w:r>
      <w:r w:rsidR="005E3407">
        <w:instrText xml:space="preserve"> ADDIN EN.CITE </w:instrText>
      </w:r>
      <w:r w:rsidR="005E3407">
        <w:fldChar w:fldCharType="begin">
          <w:fldData xml:space="preserve">PEVuZE5vdGU+PENpdGU+PEF1dGhvcj5QYXluZTwvQXV0aG9yPjxZZWFyPjIwMjA8L1llYXI+PFJl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</w:fldData>
        </w:fldChar>
      </w:r>
      <w:r w:rsidR="005E3407">
        <w:instrText xml:space="preserve"> ADDIN EN.CITE.DATA </w:instrText>
      </w:r>
      <w:r w:rsidR="005E3407">
        <w:fldChar w:fldCharType="end"/>
      </w:r>
      <w:r w:rsidR="005E3407">
        <w:fldChar w:fldCharType="separate"/>
      </w:r>
      <w:r w:rsidR="005E3407">
        <w:rPr>
          <w:noProof/>
        </w:rPr>
        <w:t>[1]</w:t>
      </w:r>
      <w:r w:rsidR="005E3407">
        <w:fldChar w:fldCharType="end"/>
      </w:r>
      <w:r w:rsidR="005E3407">
        <w:t xml:space="preserve"> </w:t>
      </w:r>
      <w:r w:rsidR="00EF4E13">
        <w:rPr>
          <w:rFonts w:ascii="Calibri" w:eastAsia="Calibri" w:hAnsi="Calibri" w:cs="Calibri"/>
        </w:rPr>
        <w:t xml:space="preserve">for use with the Clinical Practise </w:t>
      </w:r>
      <w:r w:rsidR="005E3407">
        <w:rPr>
          <w:rFonts w:ascii="Calibri" w:eastAsia="Calibri" w:hAnsi="Calibri" w:cs="Calibri"/>
        </w:rPr>
        <w:t>R</w:t>
      </w:r>
      <w:r w:rsidR="00EF4E13">
        <w:rPr>
          <w:rFonts w:ascii="Calibri" w:eastAsia="Calibri" w:hAnsi="Calibri" w:cs="Calibri"/>
        </w:rPr>
        <w:t xml:space="preserve">esearch </w:t>
      </w:r>
      <w:r w:rsidR="005E3407">
        <w:rPr>
          <w:rFonts w:ascii="Calibri" w:eastAsia="Calibri" w:hAnsi="Calibri" w:cs="Calibri"/>
        </w:rPr>
        <w:t>D</w:t>
      </w:r>
      <w:r w:rsidR="00EF4E13">
        <w:rPr>
          <w:rFonts w:ascii="Calibri" w:eastAsia="Calibri" w:hAnsi="Calibri" w:cs="Calibri"/>
        </w:rPr>
        <w:t>ata</w:t>
      </w:r>
      <w:r w:rsidR="00401638">
        <w:rPr>
          <w:rFonts w:ascii="Calibri" w:eastAsia="Calibri" w:hAnsi="Calibri" w:cs="Calibri"/>
        </w:rPr>
        <w:t xml:space="preserve">set (CPRD) and use the readv2 coding framework for GP clinical records and Prodcodes for prescription records. </w:t>
      </w:r>
      <w:r w:rsidR="005E3407">
        <w:rPr>
          <w:rFonts w:ascii="Calibri" w:eastAsia="Calibri" w:hAnsi="Calibri" w:cs="Calibri"/>
        </w:rPr>
        <w:t>T</w:t>
      </w:r>
      <w:r w:rsidR="00401638">
        <w:rPr>
          <w:rFonts w:ascii="Calibri" w:eastAsia="Calibri" w:hAnsi="Calibri" w:cs="Calibri"/>
        </w:rPr>
        <w:t>o use these codelists to query the UKB primary care records</w:t>
      </w:r>
      <w:r w:rsidR="00AE7045">
        <w:rPr>
          <w:rFonts w:ascii="Calibri" w:eastAsia="Calibri" w:hAnsi="Calibri" w:cs="Calibri"/>
        </w:rPr>
        <w:t xml:space="preserve">, they needed to be converted into the range of different coding frameworks used by the four </w:t>
      </w:r>
      <w:r w:rsidR="00CE5FC6">
        <w:rPr>
          <w:rFonts w:ascii="Calibri" w:eastAsia="Calibri" w:hAnsi="Calibri" w:cs="Calibri"/>
        </w:rPr>
        <w:t xml:space="preserve">distinct </w:t>
      </w:r>
      <w:r w:rsidR="00AE7045">
        <w:rPr>
          <w:rFonts w:ascii="Calibri" w:eastAsia="Calibri" w:hAnsi="Calibri" w:cs="Calibri"/>
        </w:rPr>
        <w:t>data providers</w:t>
      </w:r>
      <w:r w:rsidR="00CE5FC6">
        <w:rPr>
          <w:rFonts w:ascii="Calibri" w:eastAsia="Calibri" w:hAnsi="Calibri" w:cs="Calibri"/>
        </w:rPr>
        <w:t xml:space="preserve"> (see Table S6). </w:t>
      </w:r>
    </w:p>
    <w:p w14:paraId="01E4795F" w14:textId="07DEDCED" w:rsidR="00A452BE" w:rsidRDefault="00BD5406" w:rsidP="005417C6">
      <w:pPr>
        <w:ind w:left="-270"/>
        <w:rPr>
          <w:rFonts w:ascii="Calibri" w:eastAsia="Calibri" w:hAnsi="Calibri" w:cs="Calibri"/>
        </w:rPr>
      </w:pPr>
      <w:r>
        <w:rPr>
          <w:rFonts w:ascii="Calibri" w:eastAsia="Calibri" w:hAnsi="Calibri" w:cs="Calibri"/>
        </w:rPr>
        <w:t>The majority of the 37 conditions were defined by events recorded in GP clinical records (</w:t>
      </w:r>
      <w:r w:rsidR="005E3407">
        <w:rPr>
          <w:rFonts w:ascii="Calibri" w:eastAsia="Calibri" w:hAnsi="Calibri" w:cs="Calibri"/>
        </w:rPr>
        <w:t xml:space="preserve">for example, </w:t>
      </w:r>
      <w:r>
        <w:rPr>
          <w:rFonts w:ascii="Calibri" w:eastAsia="Calibri" w:hAnsi="Calibri" w:cs="Calibri"/>
        </w:rPr>
        <w:t>a diagnosis of</w:t>
      </w:r>
      <w:r w:rsidR="000F701F">
        <w:rPr>
          <w:rFonts w:ascii="Calibri" w:eastAsia="Calibri" w:hAnsi="Calibri" w:cs="Calibri"/>
        </w:rPr>
        <w:t xml:space="preserve"> hypertension or a record</w:t>
      </w:r>
      <w:r w:rsidR="005E3407">
        <w:rPr>
          <w:rFonts w:ascii="Calibri" w:eastAsia="Calibri" w:hAnsi="Calibri" w:cs="Calibri"/>
        </w:rPr>
        <w:t>ed instance</w:t>
      </w:r>
      <w:r w:rsidR="000F701F">
        <w:rPr>
          <w:rFonts w:ascii="Calibri" w:eastAsia="Calibri" w:hAnsi="Calibri" w:cs="Calibri"/>
        </w:rPr>
        <w:t xml:space="preserve"> of alcohol </w:t>
      </w:r>
      <w:r w:rsidR="00230D2F">
        <w:rPr>
          <w:rFonts w:ascii="Calibri" w:eastAsia="Calibri" w:hAnsi="Calibri" w:cs="Calibri"/>
        </w:rPr>
        <w:t>abuse). Although three of the four data providers used the same coding framework as the CP</w:t>
      </w:r>
      <w:r w:rsidR="004649D0">
        <w:rPr>
          <w:rFonts w:ascii="Calibri" w:eastAsia="Calibri" w:hAnsi="Calibri" w:cs="Calibri"/>
        </w:rPr>
        <w:t xml:space="preserve">RD dataset used in the development, the largest (English TPP) used the CTV3 coding framework. </w:t>
      </w:r>
      <w:r w:rsidR="00743654">
        <w:rPr>
          <w:rFonts w:ascii="Calibri" w:eastAsia="Calibri" w:hAnsi="Calibri" w:cs="Calibri"/>
        </w:rPr>
        <w:t>The original readv2 codelist was converted to CTV3 using the conversion table provided by UKB</w:t>
      </w:r>
      <w:r w:rsidR="00C41EA2">
        <w:rPr>
          <w:rFonts w:ascii="Calibri" w:eastAsia="Calibri" w:hAnsi="Calibri" w:cs="Calibri"/>
        </w:rPr>
        <w:fldChar w:fldCharType="begin"/>
      </w:r>
      <w:r w:rsidR="00F4760F">
        <w:rPr>
          <w:rFonts w:ascii="Calibri" w:eastAsia="Calibri" w:hAnsi="Calibri" w:cs="Calibri"/>
        </w:rPr>
        <w:instrText xml:space="preserve"> ADDIN EN.CITE &lt;EndNote&gt;&lt;Cite&gt;&lt;Author&gt;UK Biobank&lt;/Author&gt;&lt;RecNum&gt;37971&lt;/RecNum&gt;&lt;DisplayText&gt;[3]&lt;/DisplayText&gt;&lt;record&gt;&lt;rec-number&gt;37971&lt;/rec-number&gt;&lt;foreign-keys&gt;&lt;key app="EN" db-id="p90r0w0drderdoe5srwpd0t82xa5rva2r0ar" timestamp="1667235996"&gt;37971&lt;/key&gt;&lt;/foreign-keys&gt;&lt;ref-type name="Web Page"&gt;12&lt;/ref-type&gt;&lt;contributors&gt;&lt;authors&gt;&lt;author&gt;UK Biobank,&lt;/author&gt;&lt;/authors&gt;&lt;/contributors&gt;&lt;titles&gt;&lt;title&gt;Resource 592: Clinical coding classification systems and maps&lt;/title&gt;&lt;/titles&gt;&lt;dates&gt;&lt;/dates&gt;&lt;urls&gt;&lt;related-urls&gt;&lt;url&gt;https://biobank.ndph.ox.ac.uk/showcase/refer.cgi?id=592&lt;/url&gt;&lt;/related-urls&gt;&lt;/urls&gt;&lt;/record&gt;&lt;/Cite&gt;&lt;/EndNote&gt;</w:instrText>
      </w:r>
      <w:r w:rsidR="00C41EA2">
        <w:rPr>
          <w:rFonts w:ascii="Calibri" w:eastAsia="Calibri" w:hAnsi="Calibri" w:cs="Calibri"/>
        </w:rPr>
        <w:fldChar w:fldCharType="separate"/>
      </w:r>
      <w:r w:rsidR="005E3407">
        <w:rPr>
          <w:rFonts w:ascii="Calibri" w:eastAsia="Calibri" w:hAnsi="Calibri" w:cs="Calibri"/>
          <w:noProof/>
        </w:rPr>
        <w:t>[3]</w:t>
      </w:r>
      <w:r w:rsidR="00C41EA2">
        <w:rPr>
          <w:rFonts w:ascii="Calibri" w:eastAsia="Calibri" w:hAnsi="Calibri" w:cs="Calibri"/>
        </w:rPr>
        <w:fldChar w:fldCharType="end"/>
      </w:r>
      <w:r w:rsidR="00743654">
        <w:rPr>
          <w:rFonts w:ascii="Calibri" w:eastAsia="Calibri" w:hAnsi="Calibri" w:cs="Calibri"/>
        </w:rPr>
        <w:t xml:space="preserve">. Subsequently the </w:t>
      </w:r>
      <w:r w:rsidR="004438E2">
        <w:rPr>
          <w:rFonts w:ascii="Calibri" w:eastAsia="Calibri" w:hAnsi="Calibri" w:cs="Calibri"/>
        </w:rPr>
        <w:t xml:space="preserve">resulting </w:t>
      </w:r>
      <w:r w:rsidR="005E45C3">
        <w:rPr>
          <w:rFonts w:ascii="Calibri" w:eastAsia="Calibri" w:hAnsi="Calibri" w:cs="Calibri"/>
        </w:rPr>
        <w:t xml:space="preserve">combined </w:t>
      </w:r>
      <w:r w:rsidR="004438E2">
        <w:rPr>
          <w:rFonts w:ascii="Calibri" w:eastAsia="Calibri" w:hAnsi="Calibri" w:cs="Calibri"/>
        </w:rPr>
        <w:t xml:space="preserve">readv2 and </w:t>
      </w:r>
      <w:r w:rsidR="005E45C3">
        <w:rPr>
          <w:rFonts w:ascii="Calibri" w:eastAsia="Calibri" w:hAnsi="Calibri" w:cs="Calibri"/>
        </w:rPr>
        <w:t xml:space="preserve">CTV3 codelist was </w:t>
      </w:r>
      <w:r w:rsidR="00E25687">
        <w:rPr>
          <w:rFonts w:ascii="Calibri" w:eastAsia="Calibri" w:hAnsi="Calibri" w:cs="Calibri"/>
        </w:rPr>
        <w:t xml:space="preserve">manually checked to ensure consistency and identify </w:t>
      </w:r>
      <w:r w:rsidR="007B7957">
        <w:rPr>
          <w:rFonts w:ascii="Calibri" w:eastAsia="Calibri" w:hAnsi="Calibri" w:cs="Calibri"/>
        </w:rPr>
        <w:t>any codes incorrectly included</w:t>
      </w:r>
      <w:r w:rsidR="00333DE2">
        <w:rPr>
          <w:rFonts w:ascii="Calibri" w:eastAsia="Calibri" w:hAnsi="Calibri" w:cs="Calibri"/>
        </w:rPr>
        <w:t xml:space="preserve"> for each of the conditions. </w:t>
      </w:r>
    </w:p>
    <w:p w14:paraId="12A81207" w14:textId="51AB021E" w:rsidR="00C63222" w:rsidRDefault="007D3B87" w:rsidP="005417C6">
      <w:pPr>
        <w:ind w:left="-270"/>
        <w:rPr>
          <w:rFonts w:ascii="Calibri" w:eastAsia="Calibri" w:hAnsi="Calibri" w:cs="Calibri"/>
        </w:rPr>
      </w:pPr>
      <w:r>
        <w:rPr>
          <w:rFonts w:ascii="Calibri" w:eastAsia="Calibri" w:hAnsi="Calibri" w:cs="Calibri"/>
        </w:rPr>
        <w:t>A small number</w:t>
      </w:r>
      <w:r w:rsidR="00C63222">
        <w:rPr>
          <w:rFonts w:ascii="Calibri" w:eastAsia="Calibri" w:hAnsi="Calibri" w:cs="Calibri"/>
        </w:rPr>
        <w:t xml:space="preserve"> of the 37 conditions</w:t>
      </w:r>
      <w:r w:rsidR="00736EE9">
        <w:rPr>
          <w:rFonts w:ascii="Calibri" w:eastAsia="Calibri" w:hAnsi="Calibri" w:cs="Calibri"/>
        </w:rPr>
        <w:t xml:space="preserve"> were </w:t>
      </w:r>
      <w:r>
        <w:rPr>
          <w:rFonts w:ascii="Calibri" w:eastAsia="Calibri" w:hAnsi="Calibri" w:cs="Calibri"/>
        </w:rPr>
        <w:t>defined using prescription records, either in combination with the GP clinical records</w:t>
      </w:r>
      <w:r w:rsidR="00A036E3">
        <w:rPr>
          <w:rFonts w:ascii="Calibri" w:eastAsia="Calibri" w:hAnsi="Calibri" w:cs="Calibri"/>
        </w:rPr>
        <w:t xml:space="preserve"> (anxiety/depression, </w:t>
      </w:r>
      <w:r w:rsidR="00331E7E">
        <w:rPr>
          <w:rFonts w:ascii="Calibri" w:eastAsia="Calibri" w:hAnsi="Calibri" w:cs="Calibri"/>
        </w:rPr>
        <w:t>asthma, epilepsy, irritable bowel syndrome</w:t>
      </w:r>
      <w:r w:rsidR="004C4FD5">
        <w:rPr>
          <w:rFonts w:ascii="Calibri" w:eastAsia="Calibri" w:hAnsi="Calibri" w:cs="Calibri"/>
        </w:rPr>
        <w:t>, migraines, painful conditions</w:t>
      </w:r>
      <w:r w:rsidR="00557542">
        <w:rPr>
          <w:rFonts w:ascii="Calibri" w:eastAsia="Calibri" w:hAnsi="Calibri" w:cs="Calibri"/>
        </w:rPr>
        <w:t xml:space="preserve">, </w:t>
      </w:r>
      <w:r w:rsidR="00DD7BC0">
        <w:rPr>
          <w:rFonts w:ascii="Calibri" w:eastAsia="Calibri" w:hAnsi="Calibri" w:cs="Calibri"/>
        </w:rPr>
        <w:t>p</w:t>
      </w:r>
      <w:r w:rsidR="00557542" w:rsidRPr="00557542">
        <w:rPr>
          <w:rFonts w:ascii="Calibri" w:eastAsia="Calibri" w:hAnsi="Calibri" w:cs="Calibri"/>
        </w:rPr>
        <w:t>soriasis</w:t>
      </w:r>
      <w:r w:rsidR="00557542">
        <w:rPr>
          <w:rFonts w:ascii="Calibri" w:eastAsia="Calibri" w:hAnsi="Calibri" w:cs="Calibri"/>
        </w:rPr>
        <w:t>/</w:t>
      </w:r>
      <w:r w:rsidR="00557542" w:rsidRPr="00557542">
        <w:rPr>
          <w:rFonts w:ascii="Calibri" w:eastAsia="Calibri" w:hAnsi="Calibri" w:cs="Calibri"/>
        </w:rPr>
        <w:t>eczema</w:t>
      </w:r>
      <w:r w:rsidR="00A036E3">
        <w:rPr>
          <w:rFonts w:ascii="Calibri" w:eastAsia="Calibri" w:hAnsi="Calibri" w:cs="Calibri"/>
        </w:rPr>
        <w:t>)</w:t>
      </w:r>
      <w:r w:rsidR="00DD7BC0">
        <w:rPr>
          <w:rFonts w:ascii="Calibri" w:eastAsia="Calibri" w:hAnsi="Calibri" w:cs="Calibri"/>
        </w:rPr>
        <w:t xml:space="preserve"> </w:t>
      </w:r>
      <w:r w:rsidR="00A036E3">
        <w:rPr>
          <w:rFonts w:ascii="Calibri" w:eastAsia="Calibri" w:hAnsi="Calibri" w:cs="Calibri"/>
        </w:rPr>
        <w:t>or alone</w:t>
      </w:r>
      <w:r w:rsidR="00DD7BC0">
        <w:rPr>
          <w:rFonts w:ascii="Calibri" w:eastAsia="Calibri" w:hAnsi="Calibri" w:cs="Calibri"/>
        </w:rPr>
        <w:t xml:space="preserve"> (constipation</w:t>
      </w:r>
      <w:r w:rsidR="00FB5066">
        <w:rPr>
          <w:rFonts w:ascii="Calibri" w:eastAsia="Calibri" w:hAnsi="Calibri" w:cs="Calibri"/>
        </w:rPr>
        <w:t>, s</w:t>
      </w:r>
      <w:r w:rsidR="00FB5066" w:rsidRPr="00FB5066">
        <w:rPr>
          <w:rFonts w:ascii="Calibri" w:eastAsia="Calibri" w:hAnsi="Calibri" w:cs="Calibri"/>
        </w:rPr>
        <w:t>chizophreni</w:t>
      </w:r>
      <w:r w:rsidR="00FB5066">
        <w:rPr>
          <w:rFonts w:ascii="Calibri" w:eastAsia="Calibri" w:hAnsi="Calibri" w:cs="Calibri"/>
        </w:rPr>
        <w:t>c/</w:t>
      </w:r>
      <w:r w:rsidR="00FB5066" w:rsidRPr="00FB5066">
        <w:rPr>
          <w:rFonts w:ascii="Calibri" w:eastAsia="Calibri" w:hAnsi="Calibri" w:cs="Calibri"/>
        </w:rPr>
        <w:t>bipolar disorder</w:t>
      </w:r>
      <w:r w:rsidR="00DD7BC0">
        <w:rPr>
          <w:rFonts w:ascii="Calibri" w:eastAsia="Calibri" w:hAnsi="Calibri" w:cs="Calibri"/>
        </w:rPr>
        <w:t>)</w:t>
      </w:r>
      <w:r w:rsidR="00A036E3">
        <w:rPr>
          <w:rFonts w:ascii="Calibri" w:eastAsia="Calibri" w:hAnsi="Calibri" w:cs="Calibri"/>
        </w:rPr>
        <w:t xml:space="preserve">. </w:t>
      </w:r>
      <w:r w:rsidR="00A344AD">
        <w:rPr>
          <w:rFonts w:ascii="Calibri" w:eastAsia="Calibri" w:hAnsi="Calibri" w:cs="Calibri"/>
        </w:rPr>
        <w:t xml:space="preserve">We followed the same process for converting the </w:t>
      </w:r>
      <w:r w:rsidR="00C87AE1">
        <w:rPr>
          <w:rFonts w:ascii="Calibri" w:eastAsia="Calibri" w:hAnsi="Calibri" w:cs="Calibri"/>
        </w:rPr>
        <w:t xml:space="preserve">medications codelists as described above for the GP clinical records, however, given the larger number of coding frameworks involved this was a more </w:t>
      </w:r>
      <w:r w:rsidR="00C87AE1">
        <w:rPr>
          <w:rFonts w:ascii="Calibri" w:eastAsia="Calibri" w:hAnsi="Calibri" w:cs="Calibri"/>
        </w:rPr>
        <w:lastRenderedPageBreak/>
        <w:t>comp</w:t>
      </w:r>
      <w:r w:rsidR="00766788">
        <w:rPr>
          <w:rFonts w:ascii="Calibri" w:eastAsia="Calibri" w:hAnsi="Calibri" w:cs="Calibri"/>
        </w:rPr>
        <w:t>l</w:t>
      </w:r>
      <w:r w:rsidR="00C87AE1">
        <w:rPr>
          <w:rFonts w:ascii="Calibri" w:eastAsia="Calibri" w:hAnsi="Calibri" w:cs="Calibri"/>
        </w:rPr>
        <w:t xml:space="preserve">ex </w:t>
      </w:r>
      <w:r w:rsidR="00766788">
        <w:rPr>
          <w:rFonts w:ascii="Calibri" w:eastAsia="Calibri" w:hAnsi="Calibri" w:cs="Calibri"/>
        </w:rPr>
        <w:t>process. The conversions carried out are shown in Fig. S</w:t>
      </w:r>
      <w:r w:rsidR="00B240EF">
        <w:rPr>
          <w:rFonts w:ascii="Calibri" w:eastAsia="Calibri" w:hAnsi="Calibri" w:cs="Calibri"/>
        </w:rPr>
        <w:t>5</w:t>
      </w:r>
      <w:r w:rsidR="00766788">
        <w:rPr>
          <w:rFonts w:ascii="Calibri" w:eastAsia="Calibri" w:hAnsi="Calibri" w:cs="Calibri"/>
        </w:rPr>
        <w:t xml:space="preserve">. Conversion tables from Prodcodes </w:t>
      </w:r>
      <w:r w:rsidR="009134A9">
        <w:rPr>
          <w:rFonts w:ascii="Calibri" w:eastAsia="Calibri" w:hAnsi="Calibri" w:cs="Calibri"/>
        </w:rPr>
        <w:t xml:space="preserve">to DM+D and BNF (10 character) were taken from </w:t>
      </w:r>
      <w:r w:rsidR="007858E9">
        <w:rPr>
          <w:rFonts w:ascii="Calibri" w:eastAsia="Calibri" w:hAnsi="Calibri" w:cs="Calibri"/>
        </w:rPr>
        <w:t>the product dictionary provided by CPRD</w:t>
      </w:r>
      <w:r w:rsidR="00C97E61">
        <w:rPr>
          <w:rFonts w:ascii="Calibri" w:eastAsia="Calibri" w:hAnsi="Calibri" w:cs="Calibri"/>
        </w:rPr>
        <w:fldChar w:fldCharType="begin"/>
      </w:r>
      <w:r w:rsidR="002148F8">
        <w:rPr>
          <w:rFonts w:ascii="Calibri" w:eastAsia="Calibri" w:hAnsi="Calibri" w:cs="Calibri"/>
        </w:rPr>
        <w:instrText xml:space="preserve"> ADDIN EN.CITE &lt;EndNote&gt;&lt;Cite&gt;&lt;Author&gt;Clinical Practice Research Datalink&lt;/Author&gt;&lt;RecNum&gt;38011&lt;/RecNum&gt;&lt;DisplayText&gt;[4]&lt;/DisplayText&gt;&lt;record&gt;&lt;rec-number&gt;38011&lt;/rec-number&gt;&lt;foreign-keys&gt;&lt;key app="EN" db-id="p90r0w0drderdoe5srwpd0t82xa5rva2r0ar" timestamp="1683117873"&gt;38011&lt;/key&gt;&lt;/foreign-keys&gt;&lt;ref-type name="Web Page"&gt;12&lt;/ref-type&gt;&lt;contributors&gt;&lt;authors&gt;&lt;author&gt;Clinical Practice Research Datalink,&lt;/author&gt;&lt;/authors&gt;&lt;/contributors&gt;&lt;titles&gt;&lt;title&gt;PRODDICT: CPRD (GPRD) Product dictionary&lt;/title&gt;&lt;/titles&gt;&lt;dates&gt;&lt;pub-dates&gt;&lt;date&gt;28/02/2020&lt;/date&gt;&lt;/pub-dates&gt;&lt;/dates&gt;&lt;urls&gt;&lt;related-urls&gt;&lt;url&gt;https://rdrr.io/rforge/CALIBERcodelists/man/PRODDICT.html&lt;/url&gt;&lt;/related-urls&gt;&lt;/urls&gt;&lt;/record&gt;&lt;/Cite&gt;&lt;/EndNote&gt;</w:instrText>
      </w:r>
      <w:r w:rsidR="00C97E61">
        <w:rPr>
          <w:rFonts w:ascii="Calibri" w:eastAsia="Calibri" w:hAnsi="Calibri" w:cs="Calibri"/>
        </w:rPr>
        <w:fldChar w:fldCharType="separate"/>
      </w:r>
      <w:r w:rsidR="00C97E61">
        <w:rPr>
          <w:rFonts w:ascii="Calibri" w:eastAsia="Calibri" w:hAnsi="Calibri" w:cs="Calibri"/>
          <w:noProof/>
        </w:rPr>
        <w:t>[4]</w:t>
      </w:r>
      <w:r w:rsidR="00C97E61">
        <w:rPr>
          <w:rFonts w:ascii="Calibri" w:eastAsia="Calibri" w:hAnsi="Calibri" w:cs="Calibri"/>
        </w:rPr>
        <w:fldChar w:fldCharType="end"/>
      </w:r>
      <w:r w:rsidR="00BF7811">
        <w:rPr>
          <w:rFonts w:ascii="Calibri" w:eastAsia="Calibri" w:hAnsi="Calibri" w:cs="Calibri"/>
        </w:rPr>
        <w:t xml:space="preserve">. </w:t>
      </w:r>
      <w:r w:rsidR="001777A3">
        <w:rPr>
          <w:rFonts w:ascii="Calibri" w:eastAsia="Calibri" w:hAnsi="Calibri" w:cs="Calibri"/>
        </w:rPr>
        <w:t>Subsequently the UK Biobank conversion table for BNF to readv2 was used</w:t>
      </w:r>
      <w:r w:rsidR="00C41EA2">
        <w:rPr>
          <w:rFonts w:ascii="Calibri" w:eastAsia="Calibri" w:hAnsi="Calibri" w:cs="Calibri"/>
        </w:rPr>
        <w:fldChar w:fldCharType="begin"/>
      </w:r>
      <w:r w:rsidR="00F4760F">
        <w:rPr>
          <w:rFonts w:ascii="Calibri" w:eastAsia="Calibri" w:hAnsi="Calibri" w:cs="Calibri"/>
        </w:rPr>
        <w:instrText xml:space="preserve"> ADDIN EN.CITE &lt;EndNote&gt;&lt;Cite&gt;&lt;Author&gt;UK Biobank&lt;/Author&gt;&lt;RecNum&gt;37971&lt;/RecNum&gt;&lt;DisplayText&gt;[3]&lt;/DisplayText&gt;&lt;record&gt;&lt;rec-number&gt;37971&lt;/rec-number&gt;&lt;foreign-keys&gt;&lt;key app="EN" db-id="p90r0w0drderdoe5srwpd0t82xa5rva2r0ar" timestamp="1667235996"&gt;37971&lt;/key&gt;&lt;/foreign-keys&gt;&lt;ref-type name="Web Page"&gt;12&lt;/ref-type&gt;&lt;contributors&gt;&lt;authors&gt;&lt;author&gt;UK Biobank,&lt;/author&gt;&lt;/authors&gt;&lt;/contributors&gt;&lt;titles&gt;&lt;title&gt;Resource 592: Clinical coding classification systems and maps&lt;/title&gt;&lt;/titles&gt;&lt;dates&gt;&lt;/dates&gt;&lt;urls&gt;&lt;related-urls&gt;&lt;url&gt;https://biobank.ndph.ox.ac.uk/showcase/refer.cgi?id=592&lt;/url&gt;&lt;/related-urls&gt;&lt;/urls&gt;&lt;/record&gt;&lt;/Cite&gt;&lt;/EndNote&gt;</w:instrText>
      </w:r>
      <w:r w:rsidR="00C41EA2">
        <w:rPr>
          <w:rFonts w:ascii="Calibri" w:eastAsia="Calibri" w:hAnsi="Calibri" w:cs="Calibri"/>
        </w:rPr>
        <w:fldChar w:fldCharType="separate"/>
      </w:r>
      <w:r w:rsidR="005E3407">
        <w:rPr>
          <w:rFonts w:ascii="Calibri" w:eastAsia="Calibri" w:hAnsi="Calibri" w:cs="Calibri"/>
          <w:noProof/>
        </w:rPr>
        <w:t>[3]</w:t>
      </w:r>
      <w:r w:rsidR="00C41EA2">
        <w:rPr>
          <w:rFonts w:ascii="Calibri" w:eastAsia="Calibri" w:hAnsi="Calibri" w:cs="Calibri"/>
        </w:rPr>
        <w:fldChar w:fldCharType="end"/>
      </w:r>
      <w:r w:rsidR="001777A3">
        <w:rPr>
          <w:rFonts w:ascii="Calibri" w:eastAsia="Calibri" w:hAnsi="Calibri" w:cs="Calibri"/>
        </w:rPr>
        <w:t xml:space="preserve">, and BNF codes were also reformatted to align with the different </w:t>
      </w:r>
      <w:r w:rsidR="000A0B71">
        <w:rPr>
          <w:rFonts w:ascii="Calibri" w:eastAsia="Calibri" w:hAnsi="Calibri" w:cs="Calibri"/>
        </w:rPr>
        <w:t>systems. Following conversion and reformattin</w:t>
      </w:r>
      <w:r w:rsidR="008E3370">
        <w:rPr>
          <w:rFonts w:ascii="Calibri" w:eastAsia="Calibri" w:hAnsi="Calibri" w:cs="Calibri"/>
        </w:rPr>
        <w:t xml:space="preserve">g the resulting medication codelists were manually checked to minimise inconsistency between data providers and identify any codes </w:t>
      </w:r>
      <w:r w:rsidR="00F4760F">
        <w:rPr>
          <w:noProof/>
        </w:rPr>
        <mc:AlternateContent>
          <mc:Choice Requires="wps">
            <w:drawing>
              <wp:anchor distT="0" distB="0" distL="114300" distR="114300" simplePos="0" relativeHeight="251665408" behindDoc="0" locked="0" layoutInCell="1" allowOverlap="1" wp14:anchorId="476A5257" wp14:editId="3BC0E6BC">
                <wp:simplePos x="0" y="0"/>
                <wp:positionH relativeFrom="column">
                  <wp:posOffset>-257810</wp:posOffset>
                </wp:positionH>
                <wp:positionV relativeFrom="paragraph">
                  <wp:posOffset>3716020</wp:posOffset>
                </wp:positionV>
                <wp:extent cx="594360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F78121A" w14:textId="0077D059" w:rsidR="00F4760F" w:rsidRPr="005E12CC" w:rsidRDefault="00F4760F" w:rsidP="00F4760F">
                            <w:pPr>
                              <w:pStyle w:val="Caption"/>
                              <w:rPr>
                                <w:rFonts w:ascii="Calibri" w:eastAsia="Calibri" w:hAnsi="Calibri" w:cs="Calibri"/>
                              </w:rPr>
                            </w:pPr>
                            <w:r>
                              <w:t xml:space="preserve">Figure </w:t>
                            </w:r>
                            <w:r w:rsidR="00B240EF">
                              <w:t>S5</w:t>
                            </w:r>
                            <w:r>
                              <w:t>: Conversion and reformatting process for medication codelists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6A5257" id="Text Box 2" o:spid="_x0000_s1027" type="#_x0000_t202" style="position:absolute;left:0;text-align:left;margin-left:-20.3pt;margin-top:292.6pt;width:468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" stroked="f">
                <v:textbox style="mso-fit-shape-to-text:t" inset="0,0,0,0">
                  <w:txbxContent>
                    <w:p w14:paraId="4F78121A" w14:textId="0077D059" w:rsidR="00F4760F" w:rsidRPr="005E12CC" w:rsidRDefault="00F4760F" w:rsidP="00F4760F">
                      <w:pPr>
                        <w:pStyle w:val="Caption"/>
                        <w:rPr>
                          <w:rFonts w:ascii="Calibri" w:eastAsia="Calibri" w:hAnsi="Calibri" w:cs="Calibri"/>
                        </w:rPr>
                      </w:pPr>
                      <w:r>
                        <w:t xml:space="preserve">Figure </w:t>
                      </w:r>
                      <w:r w:rsidR="00B240EF">
                        <w:t>S5</w:t>
                      </w:r>
                      <w:r>
                        <w:t>: Conversion and reformatting process for medication codelists</w:t>
                      </w:r>
                    </w:p>
                  </w:txbxContent>
                </v:textbox>
                <w10:wrap type="topAndBottom"/>
              </v:shape>
            </w:pict>
          </mc:Fallback>
        </mc:AlternateContent>
      </w:r>
      <w:r w:rsidR="00C41EA2" w:rsidRPr="00B256C2">
        <w:rPr>
          <w:rFonts w:ascii="Calibri" w:eastAsia="Calibri" w:hAnsi="Calibri" w:cs="Calibri"/>
          <w:noProof/>
        </w:rPr>
        <w:drawing>
          <wp:anchor distT="0" distB="0" distL="114300" distR="114300" simplePos="0" relativeHeight="251659264" behindDoc="1" locked="0" layoutInCell="1" allowOverlap="1" wp14:anchorId="24786357" wp14:editId="7EC312DE">
            <wp:simplePos x="0" y="0"/>
            <wp:positionH relativeFrom="column">
              <wp:posOffset>-257810</wp:posOffset>
            </wp:positionH>
            <wp:positionV relativeFrom="paragraph">
              <wp:posOffset>1628775</wp:posOffset>
            </wp:positionV>
            <wp:extent cx="5943600" cy="2030095"/>
            <wp:effectExtent l="0" t="0" r="0" b="8255"/>
            <wp:wrapTopAndBottom/>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030095"/>
                    </a:xfrm>
                    <a:prstGeom prst="rect">
                      <a:avLst/>
                    </a:prstGeom>
                  </pic:spPr>
                </pic:pic>
              </a:graphicData>
            </a:graphic>
            <wp14:sizeRelH relativeFrom="page">
              <wp14:pctWidth>0</wp14:pctWidth>
            </wp14:sizeRelH>
            <wp14:sizeRelV relativeFrom="page">
              <wp14:pctHeight>0</wp14:pctHeight>
            </wp14:sizeRelV>
          </wp:anchor>
        </w:drawing>
      </w:r>
      <w:r w:rsidR="008E3370">
        <w:rPr>
          <w:rFonts w:ascii="Calibri" w:eastAsia="Calibri" w:hAnsi="Calibri" w:cs="Calibri"/>
        </w:rPr>
        <w:t xml:space="preserve">incorrectly included for each of the conditions. </w:t>
      </w:r>
    </w:p>
    <w:p w14:paraId="18334CA0" w14:textId="71CE8796" w:rsidR="00092229" w:rsidRDefault="00092229" w:rsidP="005417C6">
      <w:pPr>
        <w:ind w:left="-270"/>
        <w:rPr>
          <w:rFonts w:ascii="Calibri" w:eastAsia="Calibri" w:hAnsi="Calibri" w:cs="Calibri"/>
        </w:rPr>
      </w:pPr>
      <w:r>
        <w:rPr>
          <w:rFonts w:ascii="Calibri" w:eastAsia="Calibri" w:hAnsi="Calibri" w:cs="Calibri"/>
        </w:rPr>
        <w:t>The final codelists used for all 37 conditions in this analysis as well as the R code used for</w:t>
      </w:r>
      <w:r w:rsidR="00220104">
        <w:rPr>
          <w:rFonts w:ascii="Calibri" w:eastAsia="Calibri" w:hAnsi="Calibri" w:cs="Calibri"/>
        </w:rPr>
        <w:t xml:space="preserve"> their processing (conversion and reformatting) are included in the public GitHub repository for this project. </w:t>
      </w:r>
    </w:p>
    <w:p w14:paraId="72992AAE" w14:textId="77777777" w:rsidR="005417C6" w:rsidRDefault="005417C6" w:rsidP="005417C6">
      <w:pPr>
        <w:rPr>
          <w:rFonts w:ascii="Calibri" w:eastAsia="Calibri" w:hAnsi="Calibri" w:cs="Calibri"/>
        </w:rPr>
      </w:pPr>
    </w:p>
    <w:p w14:paraId="268B88A8" w14:textId="45AEB2D9" w:rsidR="00152446" w:rsidRDefault="00DB611D">
      <w:pPr>
        <w:rPr>
          <w:i/>
          <w:iCs/>
        </w:rPr>
      </w:pPr>
      <w:proofErr w:type="gramStart"/>
      <w:r>
        <w:rPr>
          <w:i/>
          <w:iCs/>
        </w:rPr>
        <w:t xml:space="preserve">Assessing  </w:t>
      </w:r>
      <w:r w:rsidR="00152446">
        <w:rPr>
          <w:i/>
          <w:iCs/>
        </w:rPr>
        <w:t>Calibration</w:t>
      </w:r>
      <w:proofErr w:type="gramEnd"/>
    </w:p>
    <w:p w14:paraId="5AAB1B86" w14:textId="3269CFAF" w:rsidR="00AD2E17" w:rsidRPr="00AD2E17" w:rsidRDefault="00AD2E17" w:rsidP="00AD2E17">
      <w:pPr>
        <w:rPr>
          <w:rFonts w:cstheme="minorHAnsi"/>
          <w:color w:val="000000"/>
        </w:rPr>
      </w:pPr>
      <w:r w:rsidRPr="00AD2E17">
        <w:rPr>
          <w:rFonts w:cstheme="minorHAnsi"/>
          <w:color w:val="000000"/>
        </w:rPr>
        <w:t xml:space="preserve">Calibration of </w:t>
      </w:r>
      <w:proofErr w:type="gramStart"/>
      <w:r w:rsidRPr="00AD2E17">
        <w:rPr>
          <w:rFonts w:cstheme="minorHAnsi"/>
          <w:color w:val="000000"/>
        </w:rPr>
        <w:t>all of</w:t>
      </w:r>
      <w:proofErr w:type="gramEnd"/>
      <w:r w:rsidRPr="00AD2E17">
        <w:rPr>
          <w:rFonts w:cstheme="minorHAnsi"/>
          <w:color w:val="000000"/>
        </w:rPr>
        <w:t xml:space="preserve"> the models included in the analysis, for all three outcomes (death, GP consultation rate and cancer diagnosis), was assessed graphically. The risk predicted by the CMS and the relative risk of the outcome (death</w:t>
      </w:r>
      <w:r w:rsidR="0002507A">
        <w:rPr>
          <w:rFonts w:cstheme="minorHAnsi"/>
          <w:color w:val="000000"/>
        </w:rPr>
        <w:t xml:space="preserve">, </w:t>
      </w:r>
      <w:r w:rsidRPr="00AD2E17">
        <w:rPr>
          <w:rFonts w:cstheme="minorHAnsi"/>
          <w:color w:val="000000"/>
        </w:rPr>
        <w:t>cancer diagnosis</w:t>
      </w:r>
      <w:r w:rsidR="0002507A">
        <w:rPr>
          <w:rFonts w:cstheme="minorHAnsi"/>
          <w:color w:val="000000"/>
        </w:rPr>
        <w:t xml:space="preserve"> or the frequency of GP consultation</w:t>
      </w:r>
      <w:r w:rsidRPr="00AD2E17">
        <w:rPr>
          <w:rFonts w:cstheme="minorHAnsi"/>
          <w:color w:val="000000"/>
        </w:rPr>
        <w:t xml:space="preserve">) were compared for both 1-year and 5-year follow-up. </w:t>
      </w:r>
    </w:p>
    <w:p w14:paraId="4D2C2951" w14:textId="1FB0D53C" w:rsidR="00152446" w:rsidRDefault="00AD2E17" w:rsidP="00AD2E17">
      <w:pPr>
        <w:rPr>
          <w:rFonts w:cstheme="minorHAnsi"/>
          <w:color w:val="000000"/>
        </w:rPr>
      </w:pPr>
      <w:r w:rsidRPr="00AD2E17">
        <w:rPr>
          <w:rFonts w:cstheme="minorHAnsi"/>
          <w:color w:val="000000"/>
        </w:rPr>
        <w:t>We stratified our analysis cohort by deciles of predicted relative risk; the 5</w:t>
      </w:r>
      <w:r w:rsidRPr="00AD2E17">
        <w:rPr>
          <w:rFonts w:cstheme="minorHAnsi"/>
          <w:color w:val="000000"/>
          <w:vertAlign w:val="superscript"/>
        </w:rPr>
        <w:t>th</w:t>
      </w:r>
      <w:r w:rsidRPr="00AD2E17">
        <w:rPr>
          <w:rFonts w:cstheme="minorHAnsi"/>
          <w:color w:val="000000"/>
        </w:rPr>
        <w:t xml:space="preserve"> decile was used as baseline. The observed relative risk in each decile was calculated</w:t>
      </w:r>
      <w:r w:rsidR="00FB623A">
        <w:rPr>
          <w:rFonts w:cstheme="minorHAnsi"/>
          <w:color w:val="000000"/>
        </w:rPr>
        <w:t xml:space="preserve"> as</w:t>
      </w:r>
      <w:r w:rsidR="00152446">
        <w:rPr>
          <w:rFonts w:cstheme="minorHAnsi"/>
          <w:color w:val="000000"/>
        </w:rPr>
        <w:t xml:space="preserve"> the number of cases in that decile, divided by the number of individuals in that decile</w:t>
      </w:r>
      <w:r w:rsidR="00621982">
        <w:rPr>
          <w:rFonts w:cstheme="minorHAnsi"/>
          <w:color w:val="000000"/>
        </w:rPr>
        <w:t xml:space="preserve"> (</w:t>
      </w:r>
      <w:r w:rsidR="00527AA6">
        <w:rPr>
          <w:rFonts w:cstheme="minorHAnsi"/>
          <w:color w:val="000000"/>
        </w:rPr>
        <w:t>for the outcome of GP consultation rate</w:t>
      </w:r>
      <w:r w:rsidR="00621982">
        <w:rPr>
          <w:rFonts w:cstheme="minorHAnsi"/>
          <w:color w:val="000000"/>
        </w:rPr>
        <w:t xml:space="preserve"> the mean consultation rate</w:t>
      </w:r>
      <w:r w:rsidR="00527AA6">
        <w:rPr>
          <w:rFonts w:cstheme="minorHAnsi"/>
          <w:color w:val="000000"/>
        </w:rPr>
        <w:t xml:space="preserve"> is used</w:t>
      </w:r>
      <w:r w:rsidR="00621982">
        <w:rPr>
          <w:rFonts w:cstheme="minorHAnsi"/>
          <w:color w:val="000000"/>
        </w:rPr>
        <w:t>)</w:t>
      </w:r>
      <w:r w:rsidR="00527AA6">
        <w:rPr>
          <w:rFonts w:cstheme="minorHAnsi"/>
          <w:color w:val="000000"/>
        </w:rPr>
        <w:t>, divided by the same estimate in the 5</w:t>
      </w:r>
      <w:r w:rsidR="00527AA6" w:rsidRPr="0082289E">
        <w:rPr>
          <w:rFonts w:cstheme="minorHAnsi"/>
          <w:color w:val="000000"/>
          <w:vertAlign w:val="superscript"/>
        </w:rPr>
        <w:t>th</w:t>
      </w:r>
      <w:r w:rsidR="00527AA6">
        <w:rPr>
          <w:rFonts w:cstheme="minorHAnsi"/>
          <w:color w:val="000000"/>
        </w:rPr>
        <w:t xml:space="preserve"> decile</w:t>
      </w:r>
      <w:r w:rsidR="00152446">
        <w:rPr>
          <w:rFonts w:cstheme="minorHAnsi"/>
          <w:color w:val="000000"/>
        </w:rPr>
        <w:t xml:space="preserve">. The </w:t>
      </w:r>
      <w:r w:rsidR="009D08FB">
        <w:rPr>
          <w:rFonts w:cstheme="minorHAnsi"/>
          <w:color w:val="000000"/>
        </w:rPr>
        <w:t xml:space="preserve">predicted </w:t>
      </w:r>
      <w:r w:rsidR="00152446">
        <w:rPr>
          <w:rFonts w:cstheme="minorHAnsi"/>
          <w:color w:val="000000"/>
        </w:rPr>
        <w:t>risk is the mean risk predicted by the model being assessed for the individuals in that decile</w:t>
      </w:r>
      <w:r w:rsidR="0082289E">
        <w:rPr>
          <w:rFonts w:cstheme="minorHAnsi"/>
          <w:color w:val="000000"/>
        </w:rPr>
        <w:t xml:space="preserve"> and is also divided by the same estimate in the 5</w:t>
      </w:r>
      <w:r w:rsidR="0082289E" w:rsidRPr="0082289E">
        <w:rPr>
          <w:rFonts w:cstheme="minorHAnsi"/>
          <w:color w:val="000000"/>
          <w:vertAlign w:val="superscript"/>
        </w:rPr>
        <w:t>th</w:t>
      </w:r>
      <w:r w:rsidR="0082289E">
        <w:rPr>
          <w:rFonts w:cstheme="minorHAnsi"/>
          <w:color w:val="000000"/>
        </w:rPr>
        <w:t xml:space="preserve"> decile</w:t>
      </w:r>
      <w:r w:rsidR="00152446">
        <w:rPr>
          <w:rFonts w:cstheme="minorHAnsi"/>
          <w:color w:val="000000"/>
        </w:rPr>
        <w:t xml:space="preserve">. </w:t>
      </w:r>
    </w:p>
    <w:p w14:paraId="6F99342B" w14:textId="532C90CD" w:rsidR="00152446" w:rsidRPr="008A7B06" w:rsidRDefault="00152446" w:rsidP="00152446">
      <w:r>
        <w:rPr>
          <w:rFonts w:cstheme="minorHAnsi"/>
          <w:color w:val="000000"/>
        </w:rPr>
        <w:t xml:space="preserve">In </w:t>
      </w:r>
      <w:proofErr w:type="gramStart"/>
      <w:r>
        <w:rPr>
          <w:rFonts w:cstheme="minorHAnsi"/>
          <w:color w:val="000000"/>
        </w:rPr>
        <w:t>all of</w:t>
      </w:r>
      <w:proofErr w:type="gramEnd"/>
      <w:r>
        <w:rPr>
          <w:rFonts w:cstheme="minorHAnsi"/>
          <w:color w:val="000000"/>
        </w:rPr>
        <w:t xml:space="preserve"> the calibration plots, the line showing ideal calibration (equal observed and expected risk) is plotted. The 95% confidence intervals of the </w:t>
      </w:r>
      <w:r w:rsidR="00A12040">
        <w:rPr>
          <w:rFonts w:cstheme="minorHAnsi"/>
          <w:color w:val="000000"/>
        </w:rPr>
        <w:t xml:space="preserve">observed </w:t>
      </w:r>
      <w:r>
        <w:rPr>
          <w:rFonts w:cstheme="minorHAnsi"/>
          <w:color w:val="000000"/>
        </w:rPr>
        <w:t xml:space="preserve">risk estimate are also given. </w:t>
      </w:r>
    </w:p>
    <w:p w14:paraId="744A7286" w14:textId="77777777" w:rsidR="00F417F5" w:rsidRDefault="00F417F5">
      <w:pPr>
        <w:rPr>
          <w:i/>
          <w:iCs/>
        </w:rPr>
      </w:pPr>
    </w:p>
    <w:p w14:paraId="3216126F" w14:textId="77777777" w:rsidR="00F417F5" w:rsidRDefault="00F417F5">
      <w:pPr>
        <w:rPr>
          <w:i/>
          <w:iCs/>
        </w:rPr>
      </w:pPr>
    </w:p>
    <w:p w14:paraId="586EC7E0" w14:textId="77777777" w:rsidR="00F4760F" w:rsidRPr="00F4760F" w:rsidRDefault="00F417F5" w:rsidP="00F4760F">
      <w:pPr>
        <w:pStyle w:val="EndNoteBibliography"/>
        <w:spacing w:after="0"/>
        <w:ind w:left="720" w:hanging="720"/>
      </w:pPr>
      <w:r>
        <w:rPr>
          <w:i/>
          <w:iCs/>
        </w:rPr>
        <w:fldChar w:fldCharType="begin"/>
      </w:r>
      <w:r>
        <w:rPr>
          <w:i/>
          <w:iCs/>
        </w:rPr>
        <w:instrText xml:space="preserve"> ADDIN EN.REFLIST </w:instrText>
      </w:r>
      <w:r>
        <w:rPr>
          <w:i/>
          <w:iCs/>
        </w:rPr>
        <w:fldChar w:fldCharType="separate"/>
      </w:r>
      <w:r w:rsidR="00F4760F" w:rsidRPr="00F4760F">
        <w:t>1.</w:t>
      </w:r>
      <w:r w:rsidR="00F4760F" w:rsidRPr="00F4760F">
        <w:tab/>
        <w:t xml:space="preserve">Payne, R.A., et al., </w:t>
      </w:r>
      <w:r w:rsidR="00F4760F" w:rsidRPr="00F4760F">
        <w:rPr>
          <w:i/>
        </w:rPr>
        <w:t>Development and validation of the Cambridge Multimorbidity Score.</w:t>
      </w:r>
      <w:r w:rsidR="00F4760F" w:rsidRPr="00F4760F">
        <w:t xml:space="preserve"> CMAJ : Canadian Medical Association journal = journal de l'Association medicale canadienne, 2020. </w:t>
      </w:r>
      <w:r w:rsidR="00F4760F" w:rsidRPr="00F4760F">
        <w:rPr>
          <w:b/>
        </w:rPr>
        <w:t>192</w:t>
      </w:r>
      <w:r w:rsidR="00F4760F" w:rsidRPr="00F4760F">
        <w:t>(5): p. E107-E114.</w:t>
      </w:r>
    </w:p>
    <w:p w14:paraId="20A72418" w14:textId="4317E23D" w:rsidR="00F4760F" w:rsidRPr="00F4760F" w:rsidRDefault="00F4760F" w:rsidP="00F4760F">
      <w:pPr>
        <w:pStyle w:val="EndNoteBibliography"/>
        <w:spacing w:after="0"/>
        <w:ind w:left="720" w:hanging="720"/>
      </w:pPr>
      <w:r w:rsidRPr="00F4760F">
        <w:t>2.</w:t>
      </w:r>
      <w:r w:rsidRPr="00F4760F">
        <w:tab/>
        <w:t xml:space="preserve">CPRD@Cambridge. </w:t>
      </w:r>
      <w:r w:rsidRPr="00F4760F">
        <w:rPr>
          <w:i/>
        </w:rPr>
        <w:t>CPRD at Cambridge</w:t>
      </w:r>
      <w:r w:rsidRPr="00F4760F">
        <w:t xml:space="preserve">. Available from: </w:t>
      </w:r>
      <w:hyperlink r:id="rId7" w:history="1">
        <w:r w:rsidRPr="00F4760F">
          <w:rPr>
            <w:rStyle w:val="Hyperlink"/>
          </w:rPr>
          <w:t>https://www.phpc.cam.ac.uk/pcu/research/research-groups/crmh/cprd_cam/</w:t>
        </w:r>
      </w:hyperlink>
      <w:r w:rsidRPr="00F4760F">
        <w:t>.</w:t>
      </w:r>
    </w:p>
    <w:p w14:paraId="42F42EDC" w14:textId="2AA69499" w:rsidR="00F4760F" w:rsidRPr="00F4760F" w:rsidRDefault="00F4760F" w:rsidP="00F4760F">
      <w:pPr>
        <w:pStyle w:val="EndNoteBibliography"/>
        <w:spacing w:after="0"/>
        <w:ind w:left="720" w:hanging="720"/>
      </w:pPr>
      <w:r w:rsidRPr="00F4760F">
        <w:t>3.</w:t>
      </w:r>
      <w:r w:rsidRPr="00F4760F">
        <w:tab/>
        <w:t xml:space="preserve">UK Biobank. </w:t>
      </w:r>
      <w:r w:rsidRPr="00F4760F">
        <w:rPr>
          <w:i/>
        </w:rPr>
        <w:t>Resource 592: Clinical coding classification systems and maps</w:t>
      </w:r>
      <w:r w:rsidRPr="00F4760F">
        <w:t xml:space="preserve">. Available from: </w:t>
      </w:r>
      <w:hyperlink r:id="rId8" w:history="1">
        <w:r w:rsidRPr="00F4760F">
          <w:rPr>
            <w:rStyle w:val="Hyperlink"/>
          </w:rPr>
          <w:t>https://biobank.ndph.ox.ac.uk/showcase/refer.cgi?id=592</w:t>
        </w:r>
      </w:hyperlink>
      <w:r w:rsidRPr="00F4760F">
        <w:t>.</w:t>
      </w:r>
    </w:p>
    <w:p w14:paraId="21ED7C9D" w14:textId="30FA17B2" w:rsidR="00F4760F" w:rsidRPr="00F4760F" w:rsidRDefault="00F4760F" w:rsidP="00F4760F">
      <w:pPr>
        <w:pStyle w:val="EndNoteBibliography"/>
        <w:ind w:left="720" w:hanging="720"/>
      </w:pPr>
      <w:r w:rsidRPr="00F4760F">
        <w:lastRenderedPageBreak/>
        <w:t>4.</w:t>
      </w:r>
      <w:r w:rsidRPr="00F4760F">
        <w:tab/>
        <w:t xml:space="preserve">Clinical Practice Research Datalink. </w:t>
      </w:r>
      <w:r w:rsidRPr="00F4760F">
        <w:rPr>
          <w:i/>
        </w:rPr>
        <w:t>PRODDICT: CPRD (GPRD) Product dictionary</w:t>
      </w:r>
      <w:r w:rsidRPr="00F4760F">
        <w:t xml:space="preserve">. 28/02/2020; Available from: </w:t>
      </w:r>
      <w:hyperlink r:id="rId9" w:history="1">
        <w:r w:rsidRPr="00F4760F">
          <w:rPr>
            <w:rStyle w:val="Hyperlink"/>
          </w:rPr>
          <w:t>https://rdrr.io/rforge/CALIBERcodelists/man/PRODDICT.html</w:t>
        </w:r>
      </w:hyperlink>
      <w:r w:rsidRPr="00F4760F">
        <w:t>.</w:t>
      </w:r>
    </w:p>
    <w:p w14:paraId="0B70898F" w14:textId="6F301048" w:rsidR="00152446" w:rsidRPr="00152446" w:rsidRDefault="00F417F5">
      <w:pPr>
        <w:rPr>
          <w:i/>
          <w:iCs/>
        </w:rPr>
      </w:pPr>
      <w:r>
        <w:rPr>
          <w:i/>
          <w:iCs/>
        </w:rPr>
        <w:fldChar w:fldCharType="end"/>
      </w:r>
    </w:p>
    <w:sectPr w:rsidR="00152446" w:rsidRPr="001524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0r0w0drderdoe5srwpd0t82xa5rva2r0ar&quot;&gt;EndNoteLib_main-Saved-Converted&lt;record-ids&gt;&lt;item&gt;36828&lt;/item&gt;&lt;item&gt;37970&lt;/item&gt;&lt;item&gt;37971&lt;/item&gt;&lt;item&gt;38011&lt;/item&gt;&lt;/record-ids&gt;&lt;/item&gt;&lt;/Libraries&gt;"/>
  </w:docVars>
  <w:rsids>
    <w:rsidRoot w:val="00152446"/>
    <w:rsid w:val="0002507A"/>
    <w:rsid w:val="000407F7"/>
    <w:rsid w:val="00092229"/>
    <w:rsid w:val="000A0B71"/>
    <w:rsid w:val="000C1278"/>
    <w:rsid w:val="000F0E98"/>
    <w:rsid w:val="000F701F"/>
    <w:rsid w:val="00152446"/>
    <w:rsid w:val="001777A3"/>
    <w:rsid w:val="001D5279"/>
    <w:rsid w:val="002148F8"/>
    <w:rsid w:val="00220104"/>
    <w:rsid w:val="00230D2F"/>
    <w:rsid w:val="00331E7E"/>
    <w:rsid w:val="00333DE2"/>
    <w:rsid w:val="00390549"/>
    <w:rsid w:val="003D18F3"/>
    <w:rsid w:val="003F43FC"/>
    <w:rsid w:val="00401638"/>
    <w:rsid w:val="00403BEB"/>
    <w:rsid w:val="004438E2"/>
    <w:rsid w:val="00454247"/>
    <w:rsid w:val="004649D0"/>
    <w:rsid w:val="00481FA5"/>
    <w:rsid w:val="004B0112"/>
    <w:rsid w:val="004C4FD5"/>
    <w:rsid w:val="004E3637"/>
    <w:rsid w:val="004F73B0"/>
    <w:rsid w:val="00527AA6"/>
    <w:rsid w:val="005417C6"/>
    <w:rsid w:val="00557542"/>
    <w:rsid w:val="00581616"/>
    <w:rsid w:val="005B4AC0"/>
    <w:rsid w:val="005B71C1"/>
    <w:rsid w:val="005C18BF"/>
    <w:rsid w:val="005E3407"/>
    <w:rsid w:val="005E45C3"/>
    <w:rsid w:val="00621982"/>
    <w:rsid w:val="00661EBF"/>
    <w:rsid w:val="006673D0"/>
    <w:rsid w:val="00736EE9"/>
    <w:rsid w:val="00743654"/>
    <w:rsid w:val="00766788"/>
    <w:rsid w:val="00773730"/>
    <w:rsid w:val="007858E9"/>
    <w:rsid w:val="007B7957"/>
    <w:rsid w:val="007C61AE"/>
    <w:rsid w:val="007D3B87"/>
    <w:rsid w:val="00821D20"/>
    <w:rsid w:val="0082289E"/>
    <w:rsid w:val="008E1861"/>
    <w:rsid w:val="008E3370"/>
    <w:rsid w:val="008F7F7E"/>
    <w:rsid w:val="009134A9"/>
    <w:rsid w:val="00974FA9"/>
    <w:rsid w:val="009D08FB"/>
    <w:rsid w:val="00A012EC"/>
    <w:rsid w:val="00A036E3"/>
    <w:rsid w:val="00A12040"/>
    <w:rsid w:val="00A344AD"/>
    <w:rsid w:val="00A452BE"/>
    <w:rsid w:val="00A51ED8"/>
    <w:rsid w:val="00A67E9B"/>
    <w:rsid w:val="00A81B67"/>
    <w:rsid w:val="00AA1091"/>
    <w:rsid w:val="00AD28E7"/>
    <w:rsid w:val="00AD2E17"/>
    <w:rsid w:val="00AE7045"/>
    <w:rsid w:val="00B240EF"/>
    <w:rsid w:val="00B31009"/>
    <w:rsid w:val="00B561BA"/>
    <w:rsid w:val="00BB6924"/>
    <w:rsid w:val="00BD5406"/>
    <w:rsid w:val="00BF3D12"/>
    <w:rsid w:val="00BF7811"/>
    <w:rsid w:val="00C41EA2"/>
    <w:rsid w:val="00C63222"/>
    <w:rsid w:val="00C74D13"/>
    <w:rsid w:val="00C87AE1"/>
    <w:rsid w:val="00C97E61"/>
    <w:rsid w:val="00CE5FC6"/>
    <w:rsid w:val="00D11BE3"/>
    <w:rsid w:val="00D70F9A"/>
    <w:rsid w:val="00DB32A5"/>
    <w:rsid w:val="00DB611D"/>
    <w:rsid w:val="00DC49B0"/>
    <w:rsid w:val="00DD7BC0"/>
    <w:rsid w:val="00E05544"/>
    <w:rsid w:val="00E16354"/>
    <w:rsid w:val="00E25687"/>
    <w:rsid w:val="00E42AE2"/>
    <w:rsid w:val="00EE7A1E"/>
    <w:rsid w:val="00EF379D"/>
    <w:rsid w:val="00EF4E13"/>
    <w:rsid w:val="00F31246"/>
    <w:rsid w:val="00F417F5"/>
    <w:rsid w:val="00F4760F"/>
    <w:rsid w:val="00FB5066"/>
    <w:rsid w:val="00FB6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6210"/>
  <w15:chartTrackingRefBased/>
  <w15:docId w15:val="{2ED08E7B-6EA1-4BAF-BA50-9585B957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18F3"/>
    <w:rPr>
      <w:color w:val="0563C1" w:themeColor="hyperlink"/>
      <w:u w:val="single"/>
    </w:rPr>
  </w:style>
  <w:style w:type="character" w:styleId="UnresolvedMention">
    <w:name w:val="Unresolved Mention"/>
    <w:basedOn w:val="DefaultParagraphFont"/>
    <w:uiPriority w:val="99"/>
    <w:semiHidden/>
    <w:unhideWhenUsed/>
    <w:rsid w:val="003D18F3"/>
    <w:rPr>
      <w:color w:val="605E5C"/>
      <w:shd w:val="clear" w:color="auto" w:fill="E1DFDD"/>
    </w:rPr>
  </w:style>
  <w:style w:type="character" w:styleId="CommentReference">
    <w:name w:val="annotation reference"/>
    <w:basedOn w:val="DefaultParagraphFont"/>
    <w:uiPriority w:val="99"/>
    <w:semiHidden/>
    <w:unhideWhenUsed/>
    <w:rsid w:val="007858E9"/>
    <w:rPr>
      <w:sz w:val="16"/>
      <w:szCs w:val="16"/>
    </w:rPr>
  </w:style>
  <w:style w:type="paragraph" w:styleId="CommentText">
    <w:name w:val="annotation text"/>
    <w:basedOn w:val="Normal"/>
    <w:link w:val="CommentTextChar"/>
    <w:uiPriority w:val="99"/>
    <w:semiHidden/>
    <w:unhideWhenUsed/>
    <w:rsid w:val="007858E9"/>
    <w:pPr>
      <w:spacing w:line="240" w:lineRule="auto"/>
    </w:pPr>
    <w:rPr>
      <w:sz w:val="20"/>
      <w:szCs w:val="20"/>
    </w:rPr>
  </w:style>
  <w:style w:type="character" w:customStyle="1" w:styleId="CommentTextChar">
    <w:name w:val="Comment Text Char"/>
    <w:basedOn w:val="DefaultParagraphFont"/>
    <w:link w:val="CommentText"/>
    <w:uiPriority w:val="99"/>
    <w:semiHidden/>
    <w:rsid w:val="007858E9"/>
    <w:rPr>
      <w:sz w:val="20"/>
      <w:szCs w:val="20"/>
    </w:rPr>
  </w:style>
  <w:style w:type="paragraph" w:styleId="CommentSubject">
    <w:name w:val="annotation subject"/>
    <w:basedOn w:val="CommentText"/>
    <w:next w:val="CommentText"/>
    <w:link w:val="CommentSubjectChar"/>
    <w:uiPriority w:val="99"/>
    <w:semiHidden/>
    <w:unhideWhenUsed/>
    <w:rsid w:val="007858E9"/>
    <w:rPr>
      <w:b/>
      <w:bCs/>
    </w:rPr>
  </w:style>
  <w:style w:type="character" w:customStyle="1" w:styleId="CommentSubjectChar">
    <w:name w:val="Comment Subject Char"/>
    <w:basedOn w:val="CommentTextChar"/>
    <w:link w:val="CommentSubject"/>
    <w:uiPriority w:val="99"/>
    <w:semiHidden/>
    <w:rsid w:val="007858E9"/>
    <w:rPr>
      <w:b/>
      <w:bCs/>
      <w:sz w:val="20"/>
      <w:szCs w:val="20"/>
    </w:rPr>
  </w:style>
  <w:style w:type="paragraph" w:customStyle="1" w:styleId="EndNoteBibliographyTitle">
    <w:name w:val="EndNote Bibliography Title"/>
    <w:basedOn w:val="Normal"/>
    <w:link w:val="EndNoteBibliographyTitleChar"/>
    <w:rsid w:val="00F417F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417F5"/>
    <w:rPr>
      <w:rFonts w:ascii="Calibri" w:hAnsi="Calibri" w:cs="Calibri"/>
      <w:noProof/>
      <w:lang w:val="en-US"/>
    </w:rPr>
  </w:style>
  <w:style w:type="paragraph" w:customStyle="1" w:styleId="EndNoteBibliography">
    <w:name w:val="EndNote Bibliography"/>
    <w:basedOn w:val="Normal"/>
    <w:link w:val="EndNoteBibliographyChar"/>
    <w:rsid w:val="00F417F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417F5"/>
    <w:rPr>
      <w:rFonts w:ascii="Calibri" w:hAnsi="Calibri" w:cs="Calibri"/>
      <w:noProof/>
      <w:lang w:val="en-US"/>
    </w:rPr>
  </w:style>
  <w:style w:type="paragraph" w:styleId="Caption">
    <w:name w:val="caption"/>
    <w:basedOn w:val="Normal"/>
    <w:next w:val="Normal"/>
    <w:uiPriority w:val="35"/>
    <w:unhideWhenUsed/>
    <w:qFormat/>
    <w:rsid w:val="00F4760F"/>
    <w:pPr>
      <w:spacing w:after="200" w:line="240" w:lineRule="auto"/>
    </w:pPr>
    <w:rPr>
      <w:i/>
      <w:iCs/>
      <w:color w:val="44546A" w:themeColor="text2"/>
      <w:sz w:val="18"/>
      <w:szCs w:val="18"/>
    </w:rPr>
  </w:style>
  <w:style w:type="paragraph" w:styleId="Revision">
    <w:name w:val="Revision"/>
    <w:hidden/>
    <w:uiPriority w:val="99"/>
    <w:semiHidden/>
    <w:rsid w:val="00DB61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bank.ndph.ox.ac.uk/showcase/refer.cgi?id=592" TargetMode="External"/><Relationship Id="rId3" Type="http://schemas.openxmlformats.org/officeDocument/2006/relationships/settings" Target="settings.xml"/><Relationship Id="rId7" Type="http://schemas.openxmlformats.org/officeDocument/2006/relationships/hyperlink" Target="https://www.phpc.cam.ac.uk/pcu/research/research-groups/crmh/cprd_ca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drr.io/rforge/CALIBERcodelists/man/PRODDI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9602-949A-472F-A0E3-A48683A4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1242</Words>
  <Characters>7082</Characters>
  <Application>Microsoft Office Word</Application>
  <DocSecurity>0</DocSecurity>
  <Lines>59</Lines>
  <Paragraphs>16</Paragraphs>
  <ScaleCrop>false</ScaleCrop>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Harrison</dc:creator>
  <cp:keywords/>
  <dc:description/>
  <cp:lastModifiedBy>Hannah Harrison</cp:lastModifiedBy>
  <cp:revision>7</cp:revision>
  <dcterms:created xsi:type="dcterms:W3CDTF">2023-08-03T09:02:00Z</dcterms:created>
  <dcterms:modified xsi:type="dcterms:W3CDTF">2023-12-06T11:39:00Z</dcterms:modified>
</cp:coreProperties>
</file>