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33ED5" w14:textId="56A6D918" w:rsidR="004A636C" w:rsidRDefault="004A636C" w:rsidP="004A636C">
      <w:pPr>
        <w:jc w:val="center"/>
        <w:rPr>
          <w:b/>
          <w:bCs/>
          <w:i/>
          <w:iCs/>
        </w:rPr>
      </w:pPr>
      <w:r w:rsidRPr="004A636C">
        <w:rPr>
          <w:b/>
          <w:bCs/>
          <w:i/>
          <w:iCs/>
        </w:rPr>
        <w:t>Supplementary Material</w:t>
      </w:r>
    </w:p>
    <w:p w14:paraId="3F113F80" w14:textId="77777777" w:rsidR="004A636C" w:rsidRPr="00D5691F" w:rsidRDefault="004A636C" w:rsidP="004A636C">
      <w:pPr>
        <w:pStyle w:val="1"/>
        <w:jc w:val="center"/>
        <w:rPr>
          <w:b/>
          <w:bCs/>
          <w:color w:val="000000" w:themeColor="text1"/>
        </w:rPr>
      </w:pPr>
      <w:r w:rsidRPr="00D5691F">
        <w:rPr>
          <w:b/>
          <w:bCs/>
          <w:color w:val="000000" w:themeColor="text1"/>
        </w:rPr>
        <w:t xml:space="preserve">Inhaled Neutrophil elastase Inhibitor Alleviates LPS Triggers NET-mediated Acute Lung Injury </w:t>
      </w:r>
      <w:r w:rsidRPr="00D5691F">
        <w:rPr>
          <w:b/>
          <w:bCs/>
          <w:i/>
          <w:iCs/>
          <w:color w:val="000000" w:themeColor="text1"/>
        </w:rPr>
        <w:t>via</w:t>
      </w:r>
      <w:r w:rsidRPr="00D5691F">
        <w:rPr>
          <w:b/>
          <w:bCs/>
          <w:color w:val="000000" w:themeColor="text1"/>
        </w:rPr>
        <w:t xml:space="preserve"> the MAPK/AKT/NLRP3 Pathway</w:t>
      </w:r>
    </w:p>
    <w:p w14:paraId="46F50460" w14:textId="77777777" w:rsidR="004A636C" w:rsidRPr="004A636C" w:rsidRDefault="004A636C" w:rsidP="004A636C">
      <w:pPr>
        <w:jc w:val="center"/>
        <w:rPr>
          <w:b/>
          <w:bCs/>
        </w:rPr>
      </w:pPr>
    </w:p>
    <w:p w14:paraId="5DC9C90B" w14:textId="449864C2" w:rsidR="004A636C" w:rsidRPr="004A636C" w:rsidRDefault="004A636C">
      <w:pPr>
        <w:rPr>
          <w:b/>
          <w:bCs/>
        </w:rPr>
      </w:pPr>
      <w:r w:rsidRPr="004A636C">
        <w:rPr>
          <w:rFonts w:hint="eastAsia"/>
          <w:b/>
          <w:bCs/>
        </w:rPr>
        <w:t>S</w:t>
      </w:r>
      <w:r w:rsidRPr="004A636C">
        <w:rPr>
          <w:b/>
          <w:bCs/>
        </w:rPr>
        <w:t xml:space="preserve">upplementary </w:t>
      </w:r>
      <w:r w:rsidR="00CD32D8">
        <w:rPr>
          <w:noProof/>
        </w:rPr>
        <w:drawing>
          <wp:inline distT="0" distB="0" distL="0" distR="0" wp14:anchorId="18239A2E" wp14:editId="64C142DA">
            <wp:extent cx="5274310" cy="7463790"/>
            <wp:effectExtent l="0" t="0" r="0" b="0"/>
            <wp:docPr id="13882534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253436" name="图片 1388253436"/>
                    <pic:cNvPicPr/>
                  </pic:nvPicPr>
                  <pic:blipFill>
                    <a:blip r:embed="rId6">
                      <a:extLst>
                        <a:ext uri="{28A0092B-C50C-407E-A947-70E740481C1C}">
                          <a14:useLocalDpi xmlns:a14="http://schemas.microsoft.com/office/drawing/2010/main" val="0"/>
                        </a:ext>
                      </a:extLst>
                    </a:blip>
                    <a:stretch>
                      <a:fillRect/>
                    </a:stretch>
                  </pic:blipFill>
                  <pic:spPr>
                    <a:xfrm>
                      <a:off x="0" y="0"/>
                      <a:ext cx="5274310" cy="7463790"/>
                    </a:xfrm>
                    <a:prstGeom prst="rect">
                      <a:avLst/>
                    </a:prstGeom>
                  </pic:spPr>
                </pic:pic>
              </a:graphicData>
            </a:graphic>
          </wp:inline>
        </w:drawing>
      </w:r>
    </w:p>
    <w:p w14:paraId="633E8390" w14:textId="4A298418" w:rsidR="004A636C" w:rsidRDefault="004A636C" w:rsidP="004A636C">
      <w:pPr>
        <w:keepNext/>
      </w:pPr>
    </w:p>
    <w:p w14:paraId="2DE9FD2C" w14:textId="7E8BF5C0" w:rsidR="00CD32D8" w:rsidRPr="00C575AA" w:rsidRDefault="004A636C" w:rsidP="004A636C">
      <w:r w:rsidRPr="00E5297A">
        <w:rPr>
          <w:b/>
          <w:bCs/>
          <w:color w:val="000000" w:themeColor="text1"/>
        </w:rPr>
        <w:t>Supplementary F</w:t>
      </w:r>
      <w:r w:rsidRPr="00E5297A">
        <w:rPr>
          <w:rFonts w:hint="eastAsia"/>
          <w:b/>
          <w:bCs/>
          <w:color w:val="000000" w:themeColor="text1"/>
        </w:rPr>
        <w:t>i</w:t>
      </w:r>
      <w:r w:rsidRPr="00E5297A">
        <w:rPr>
          <w:b/>
          <w:bCs/>
          <w:color w:val="000000" w:themeColor="text1"/>
        </w:rPr>
        <w:t>g1</w:t>
      </w:r>
      <w:r w:rsidRPr="00E5297A">
        <w:rPr>
          <w:color w:val="000000" w:themeColor="text1"/>
        </w:rPr>
        <w:t>.</w:t>
      </w:r>
      <w:r w:rsidR="00CD32D8" w:rsidRPr="00CD32D8">
        <w:t xml:space="preserve"> </w:t>
      </w:r>
      <w:r w:rsidR="00C575AA">
        <w:t>Representative immunofluorescence images showed NETs released by PMNs from control samples stimulated with PBS, LPS, or PMA in vitro after 3.5 h. NETs were characterized by MPO (red), NE (green), and DNA (blue). NET-releasing PMNs in isolated PMNs obtained by selective blood sampling</w:t>
      </w:r>
      <w:r w:rsidR="00E5297A">
        <w:t>.</w:t>
      </w:r>
      <w:r w:rsidR="0053434F">
        <w:t xml:space="preserve"> Scale bar, </w:t>
      </w:r>
      <w:r w:rsidR="0053434F">
        <w:t>2</w:t>
      </w:r>
      <w:r w:rsidR="0053434F">
        <w:t xml:space="preserve">00 </w:t>
      </w:r>
      <w:proofErr w:type="spellStart"/>
      <w:r w:rsidR="0053434F">
        <w:t>μm</w:t>
      </w:r>
      <w:proofErr w:type="spellEnd"/>
      <w:r w:rsidR="0053434F">
        <w:t>.</w:t>
      </w:r>
      <w:r w:rsidR="00C575AA">
        <w:t xml:space="preserve"> </w:t>
      </w:r>
      <w:r w:rsidR="00C575AA" w:rsidRPr="00C575AA">
        <w:rPr>
          <w:b/>
          <w:bCs/>
        </w:rPr>
        <w:t>b</w:t>
      </w:r>
      <w:r w:rsidR="00C575AA">
        <w:t>-</w:t>
      </w:r>
      <w:r w:rsidR="00C575AA" w:rsidRPr="00C575AA">
        <w:rPr>
          <w:b/>
          <w:bCs/>
        </w:rPr>
        <w:t>d</w:t>
      </w:r>
      <w:r w:rsidR="00C575AA">
        <w:t xml:space="preserve"> </w:t>
      </w:r>
      <w:proofErr w:type="gramStart"/>
      <w:r w:rsidR="00C575AA">
        <w:t>The</w:t>
      </w:r>
      <w:proofErr w:type="gramEnd"/>
      <w:r w:rsidR="00C575AA">
        <w:t xml:space="preserve"> percentage of area coverage of NETs, MPO, and NE expression was analyzed with ImageJ software;</w:t>
      </w:r>
      <w:r w:rsidR="0053434F">
        <w:t xml:space="preserve"> </w:t>
      </w:r>
      <w:r w:rsidR="0053434F" w:rsidRPr="0053434F">
        <w:rPr>
          <w:b/>
          <w:bCs/>
        </w:rPr>
        <w:t>e</w:t>
      </w:r>
      <w:r w:rsidR="0053434F">
        <w:t xml:space="preserve"> </w:t>
      </w:r>
      <w:proofErr w:type="spellStart"/>
      <w:r w:rsidR="0053434F" w:rsidRPr="00C575AA">
        <w:rPr>
          <w:b/>
          <w:bCs/>
        </w:rPr>
        <w:t>e</w:t>
      </w:r>
      <w:proofErr w:type="spellEnd"/>
      <w:r w:rsidR="0053434F">
        <w:rPr>
          <w:color w:val="FF0000"/>
        </w:rPr>
        <w:t xml:space="preserve"> </w:t>
      </w:r>
      <w:r w:rsidR="0053434F">
        <w:t xml:space="preserve">Kaplan-Meier survival plots for </w:t>
      </w:r>
      <w:r w:rsidR="00830538">
        <w:t xml:space="preserve">the </w:t>
      </w:r>
      <w:r w:rsidR="0053434F">
        <w:t>control group (n=5), compared with the ARDS group (log-rank test)</w:t>
      </w:r>
      <w:r w:rsidR="0053434F">
        <w:t xml:space="preserve">. </w:t>
      </w:r>
      <w:r w:rsidR="00F25B8A" w:rsidRPr="00F25B8A">
        <w:rPr>
          <w:b/>
          <w:bCs/>
        </w:rPr>
        <w:t>f</w:t>
      </w:r>
      <w:r w:rsidR="00F25B8A">
        <w:t>-</w:t>
      </w:r>
      <w:r w:rsidR="00F25B8A" w:rsidRPr="00F25B8A">
        <w:rPr>
          <w:b/>
          <w:bCs/>
        </w:rPr>
        <w:t>g</w:t>
      </w:r>
      <w:r w:rsidR="00F25B8A">
        <w:t xml:space="preserve"> Dynamic changes </w:t>
      </w:r>
      <w:r w:rsidR="00830538">
        <w:t>in</w:t>
      </w:r>
      <w:r w:rsidR="00F25B8A">
        <w:t xml:space="preserve"> the frequencies and numbers of peripheral neutrophils were assessed by flow cytometry (n = 5 for cell frequencies, n = 5 for cell numbers).</w:t>
      </w:r>
      <w:r w:rsidR="000C54BA">
        <w:rPr>
          <w:rFonts w:hint="eastAsia"/>
        </w:rPr>
        <w:t xml:space="preserve"> </w:t>
      </w:r>
      <w:r w:rsidR="00C575AA">
        <w:t>All values are the mean ± SD.</w:t>
      </w:r>
      <w:r w:rsidR="00A41BA9" w:rsidRPr="00A41BA9">
        <w:t xml:space="preserve"> </w:t>
      </w:r>
      <w:r w:rsidR="00A41BA9">
        <w:t>*</w:t>
      </w:r>
      <w:r w:rsidR="00A41BA9">
        <w:rPr>
          <w:i/>
          <w:iCs/>
        </w:rPr>
        <w:t>p</w:t>
      </w:r>
      <w:r w:rsidR="00A41BA9">
        <w:t xml:space="preserve"> &lt; 0.05, ****</w:t>
      </w:r>
      <w:r w:rsidR="00A41BA9">
        <w:rPr>
          <w:i/>
          <w:iCs/>
        </w:rPr>
        <w:t>p</w:t>
      </w:r>
      <w:r w:rsidR="00A41BA9">
        <w:t xml:space="preserve"> &lt; 0.0001</w:t>
      </w:r>
      <w:r w:rsidR="00A41BA9">
        <w:t xml:space="preserve">, </w:t>
      </w:r>
      <w:r w:rsidR="00A41BA9">
        <w:t xml:space="preserve">ns = not significant. </w:t>
      </w:r>
    </w:p>
    <w:p w14:paraId="573EC557" w14:textId="77777777" w:rsidR="004A636C" w:rsidRDefault="00CD6E4F" w:rsidP="00A41BA9">
      <w:pPr>
        <w:keepNext/>
        <w:jc w:val="center"/>
      </w:pPr>
      <w:r>
        <w:rPr>
          <w:rFonts w:hint="eastAsia"/>
          <w:noProof/>
        </w:rPr>
        <w:drawing>
          <wp:inline distT="0" distB="0" distL="0" distR="0" wp14:anchorId="32227F60" wp14:editId="44E0A2B6">
            <wp:extent cx="4426527" cy="6262716"/>
            <wp:effectExtent l="0" t="0" r="0" b="0"/>
            <wp:docPr id="6213893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389369" name="图片 621389369"/>
                    <pic:cNvPicPr/>
                  </pic:nvPicPr>
                  <pic:blipFill>
                    <a:blip r:embed="rId7">
                      <a:extLst>
                        <a:ext uri="{28A0092B-C50C-407E-A947-70E740481C1C}">
                          <a14:useLocalDpi xmlns:a14="http://schemas.microsoft.com/office/drawing/2010/main" val="0"/>
                        </a:ext>
                      </a:extLst>
                    </a:blip>
                    <a:stretch>
                      <a:fillRect/>
                    </a:stretch>
                  </pic:blipFill>
                  <pic:spPr>
                    <a:xfrm>
                      <a:off x="0" y="0"/>
                      <a:ext cx="4432098" cy="6270598"/>
                    </a:xfrm>
                    <a:prstGeom prst="rect">
                      <a:avLst/>
                    </a:prstGeom>
                  </pic:spPr>
                </pic:pic>
              </a:graphicData>
            </a:graphic>
          </wp:inline>
        </w:drawing>
      </w:r>
    </w:p>
    <w:p w14:paraId="7BD79239" w14:textId="75926DC1" w:rsidR="00A41BA9" w:rsidRPr="00B27AF0" w:rsidRDefault="004A636C" w:rsidP="00BB41CB">
      <w:pPr>
        <w:rPr>
          <w:rFonts w:hint="eastAsia"/>
        </w:rPr>
      </w:pPr>
      <w:r w:rsidRPr="00E5297A">
        <w:rPr>
          <w:b/>
          <w:bCs/>
          <w:color w:val="000000" w:themeColor="text1"/>
        </w:rPr>
        <w:t>Supplementary Fig</w:t>
      </w:r>
      <w:r w:rsidR="00F25B8A" w:rsidRPr="00E5297A">
        <w:rPr>
          <w:b/>
          <w:bCs/>
          <w:color w:val="000000" w:themeColor="text1"/>
        </w:rPr>
        <w:t xml:space="preserve">. </w:t>
      </w:r>
      <w:r w:rsidRPr="00E5297A">
        <w:rPr>
          <w:b/>
          <w:bCs/>
          <w:color w:val="000000" w:themeColor="text1"/>
        </w:rPr>
        <w:t>2</w:t>
      </w:r>
      <w:r w:rsidR="00A41BA9">
        <w:rPr>
          <w:b/>
          <w:bCs/>
        </w:rPr>
        <w:t xml:space="preserve"> </w:t>
      </w:r>
      <w:r w:rsidR="00F25B8A" w:rsidRPr="00152EA2">
        <w:rPr>
          <w:b/>
          <w:bCs/>
        </w:rPr>
        <w:t>a</w:t>
      </w:r>
      <w:r w:rsidR="00152EA2" w:rsidRPr="00152EA2">
        <w:rPr>
          <w:b/>
          <w:bCs/>
        </w:rPr>
        <w:t>,</w:t>
      </w:r>
      <w:r w:rsidR="00152EA2">
        <w:rPr>
          <w:b/>
          <w:bCs/>
        </w:rPr>
        <w:t xml:space="preserve"> </w:t>
      </w:r>
      <w:r w:rsidR="00F25B8A" w:rsidRPr="00152EA2">
        <w:rPr>
          <w:b/>
          <w:bCs/>
        </w:rPr>
        <w:t>b</w:t>
      </w:r>
      <w:r>
        <w:t xml:space="preserve"> </w:t>
      </w:r>
      <w:r w:rsidR="00F25B8A">
        <w:t xml:space="preserve">Dynamic changes of the frequencies and numbers of macrophages peripheral neutrophils were assessed by flow cytometry (n = 5 for cell frequencies, n = 5 for cell numbers). </w:t>
      </w:r>
      <w:r w:rsidR="00152EA2" w:rsidRPr="00152EA2">
        <w:rPr>
          <w:b/>
          <w:bCs/>
        </w:rPr>
        <w:t>c, d</w:t>
      </w:r>
      <w:r w:rsidR="00152EA2">
        <w:t xml:space="preserve"> Control BMDNs were cocultured with PBS, LPS, or PMA, and NET formation was measured by </w:t>
      </w:r>
      <w:r w:rsidR="00152EA2">
        <w:lastRenderedPageBreak/>
        <w:t xml:space="preserve">confocal microscopy stained with MPO, NE. The percentage of NET-releasing cells was defined as the ratio of the calculated NET-releasing BMDNs to the total number of BMDNs. </w:t>
      </w:r>
      <w:r w:rsidR="00A41BA9">
        <w:t>S</w:t>
      </w:r>
      <w:r w:rsidR="00152EA2">
        <w:t xml:space="preserve">cale bars: </w:t>
      </w:r>
      <w:r w:rsidR="00A41BA9">
        <w:t>10</w:t>
      </w:r>
      <w:r w:rsidR="00152EA2">
        <w:t xml:space="preserve">0 </w:t>
      </w:r>
      <w:proofErr w:type="spellStart"/>
      <w:r w:rsidR="00152EA2">
        <w:t>μm</w:t>
      </w:r>
      <w:proofErr w:type="spellEnd"/>
      <w:r w:rsidR="00152EA2">
        <w:t>. Red-MPO, Green-NE, and Blue-DAPI. All values are the mean ± S</w:t>
      </w:r>
      <w:r w:rsidR="00A41BA9">
        <w:t>D</w:t>
      </w:r>
      <w:r w:rsidR="00152EA2">
        <w:t xml:space="preserve">. </w:t>
      </w:r>
      <w:r w:rsidR="00A41BA9">
        <w:t>*</w:t>
      </w:r>
      <w:r w:rsidR="00A41BA9">
        <w:rPr>
          <w:i/>
          <w:iCs/>
        </w:rPr>
        <w:t>p</w:t>
      </w:r>
      <w:r w:rsidR="00A41BA9">
        <w:t xml:space="preserve"> &lt; 0.05, </w:t>
      </w:r>
      <w:r w:rsidR="00152EA2">
        <w:t>**</w:t>
      </w:r>
      <w:r w:rsidR="00152EA2" w:rsidRPr="00152EA2">
        <w:rPr>
          <w:i/>
          <w:iCs/>
        </w:rPr>
        <w:t>P</w:t>
      </w:r>
      <w:r w:rsidR="00152EA2">
        <w:t xml:space="preserve"> &lt; 0.01, </w:t>
      </w:r>
      <w:r w:rsidR="00A41BA9">
        <w:t>***</w:t>
      </w:r>
      <w:r w:rsidR="00A41BA9">
        <w:rPr>
          <w:i/>
          <w:iCs/>
        </w:rPr>
        <w:t>p</w:t>
      </w:r>
      <w:r w:rsidR="00A41BA9">
        <w:t xml:space="preserve"> &lt; 0.001</w:t>
      </w:r>
      <w:r w:rsidR="00A41BA9">
        <w:t xml:space="preserve">, </w:t>
      </w:r>
      <w:r w:rsidR="00152EA2">
        <w:t>****P &lt; 0.0001</w:t>
      </w:r>
      <w:r w:rsidR="00A41BA9">
        <w:t>,</w:t>
      </w:r>
      <w:r w:rsidR="00A41BA9" w:rsidRPr="00A41BA9">
        <w:t xml:space="preserve"> </w:t>
      </w:r>
      <w:r w:rsidR="00A41BA9">
        <w:t>ns = not significant</w:t>
      </w:r>
      <w:r w:rsidR="00A41BA9">
        <w:t>.</w:t>
      </w:r>
    </w:p>
    <w:p w14:paraId="0C068ADA" w14:textId="77777777" w:rsidR="00BB41CB" w:rsidRDefault="00CD6E4F" w:rsidP="00BB41CB">
      <w:pPr>
        <w:keepNext/>
      </w:pPr>
      <w:r>
        <w:rPr>
          <w:rFonts w:hint="eastAsia"/>
          <w:noProof/>
        </w:rPr>
        <w:drawing>
          <wp:inline distT="0" distB="0" distL="0" distR="0" wp14:anchorId="6D02C8F6" wp14:editId="1ECD7380">
            <wp:extent cx="5274310" cy="5629275"/>
            <wp:effectExtent l="0" t="0" r="0" b="0"/>
            <wp:docPr id="19275072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507239" name="图片 1927507239"/>
                    <pic:cNvPicPr/>
                  </pic:nvPicPr>
                  <pic:blipFill>
                    <a:blip r:embed="rId8">
                      <a:extLst>
                        <a:ext uri="{28A0092B-C50C-407E-A947-70E740481C1C}">
                          <a14:useLocalDpi xmlns:a14="http://schemas.microsoft.com/office/drawing/2010/main" val="0"/>
                        </a:ext>
                      </a:extLst>
                    </a:blip>
                    <a:stretch>
                      <a:fillRect/>
                    </a:stretch>
                  </pic:blipFill>
                  <pic:spPr>
                    <a:xfrm>
                      <a:off x="0" y="0"/>
                      <a:ext cx="5274310" cy="5629275"/>
                    </a:xfrm>
                    <a:prstGeom prst="rect">
                      <a:avLst/>
                    </a:prstGeom>
                  </pic:spPr>
                </pic:pic>
              </a:graphicData>
            </a:graphic>
          </wp:inline>
        </w:drawing>
      </w:r>
    </w:p>
    <w:p w14:paraId="384164B3" w14:textId="08A3C8EF" w:rsidR="00E5297A" w:rsidRPr="00E5297A" w:rsidRDefault="00BB41CB" w:rsidP="00BB41CB">
      <w:pPr>
        <w:rPr>
          <w:rFonts w:hint="eastAsia"/>
        </w:rPr>
      </w:pPr>
      <w:r w:rsidRPr="00E5297A">
        <w:rPr>
          <w:b/>
          <w:bCs/>
        </w:rPr>
        <w:t>Supplementary Fig</w:t>
      </w:r>
      <w:r w:rsidR="00A41BA9" w:rsidRPr="00E5297A">
        <w:rPr>
          <w:b/>
          <w:bCs/>
        </w:rPr>
        <w:t>. 3</w:t>
      </w:r>
      <w:r w:rsidR="00A41BA9">
        <w:t xml:space="preserve"> </w:t>
      </w:r>
      <w:r w:rsidR="00A41BA9" w:rsidRPr="004C0800">
        <w:t>Detection of cytokine and NET in BALF</w:t>
      </w:r>
      <w:r w:rsidR="008F76EF">
        <w:t xml:space="preserve"> to explore AK0705 inhalation time and concentration</w:t>
      </w:r>
      <w:r w:rsidR="00A41BA9" w:rsidRPr="004C0800">
        <w:t>.</w:t>
      </w:r>
      <w:r w:rsidR="00A41BA9">
        <w:rPr>
          <w:rFonts w:hint="eastAsia"/>
        </w:rPr>
        <w:t xml:space="preserve"> </w:t>
      </w:r>
      <w:r w:rsidR="008F76EF">
        <w:rPr>
          <w:b/>
          <w:bCs/>
        </w:rPr>
        <w:t>a</w:t>
      </w:r>
      <w:r w:rsidR="008F76EF">
        <w:t xml:space="preserve">, </w:t>
      </w:r>
      <w:r w:rsidR="008F76EF" w:rsidRPr="008F76EF">
        <w:rPr>
          <w:b/>
          <w:bCs/>
        </w:rPr>
        <w:t>b</w:t>
      </w:r>
      <w:r w:rsidR="00A41BA9">
        <w:t xml:space="preserve"> BALF levels of IL-6, TNF</w:t>
      </w:r>
      <w:bookmarkStart w:id="0" w:name="OLE_LINK1"/>
      <w:bookmarkStart w:id="1" w:name="OLE_LINK2"/>
      <w:r w:rsidR="00A41BA9">
        <w:t>-α</w:t>
      </w:r>
      <w:bookmarkEnd w:id="0"/>
      <w:bookmarkEnd w:id="1"/>
      <w:r w:rsidR="00A41BA9">
        <w:t>.</w:t>
      </w:r>
      <w:r w:rsidR="00A41BA9">
        <w:rPr>
          <w:rFonts w:hint="eastAsia"/>
        </w:rPr>
        <w:t xml:space="preserve"> </w:t>
      </w:r>
      <w:r w:rsidR="008F76EF">
        <w:rPr>
          <w:b/>
          <w:bCs/>
        </w:rPr>
        <w:t>c</w:t>
      </w:r>
      <w:r w:rsidR="00A41BA9">
        <w:t xml:space="preserve"> BALF levels of </w:t>
      </w:r>
      <w:proofErr w:type="spellStart"/>
      <w:r w:rsidR="00A41BA9">
        <w:t>cfDNA</w:t>
      </w:r>
      <w:proofErr w:type="spellEnd"/>
      <w:r w:rsidR="00A41BA9">
        <w:t>.</w:t>
      </w:r>
      <w:r w:rsidR="008F76EF" w:rsidRPr="008F76EF">
        <w:rPr>
          <w:rFonts w:cs="Times New Roman"/>
          <w:szCs w:val="20"/>
        </w:rPr>
        <w:t xml:space="preserve"> </w:t>
      </w:r>
      <w:r w:rsidR="008F76EF" w:rsidRPr="008D2DE0">
        <w:rPr>
          <w:rFonts w:cs="Times New Roman"/>
          <w:szCs w:val="20"/>
        </w:rPr>
        <w:t>in the BALF of mice 3 h, 6 h, 12 h, and 24 h after LPS stimulation</w:t>
      </w:r>
      <w:r w:rsidR="008F76EF">
        <w:rPr>
          <w:rFonts w:cs="Times New Roman"/>
          <w:szCs w:val="20"/>
        </w:rPr>
        <w:t>.</w:t>
      </w:r>
      <w:r w:rsidR="00A41BA9">
        <w:t xml:space="preserve"> </w:t>
      </w:r>
      <w:r w:rsidR="008F76EF" w:rsidRPr="008F76EF">
        <w:rPr>
          <w:b/>
          <w:bCs/>
        </w:rPr>
        <w:t>d</w:t>
      </w:r>
      <w:r w:rsidR="00A41BA9">
        <w:t xml:space="preserve"> </w:t>
      </w:r>
      <w:proofErr w:type="gramStart"/>
      <w:r w:rsidR="008F76EF">
        <w:t>The</w:t>
      </w:r>
      <w:proofErr w:type="gramEnd"/>
      <w:r w:rsidR="008F76EF">
        <w:t xml:space="preserve"> W/D ratio. </w:t>
      </w:r>
      <w:r w:rsidR="008F76EF" w:rsidRPr="008F76EF">
        <w:rPr>
          <w:b/>
          <w:bCs/>
        </w:rPr>
        <w:t>e</w:t>
      </w:r>
      <w:r w:rsidR="008F76EF">
        <w:t xml:space="preserve"> </w:t>
      </w:r>
      <w:proofErr w:type="gramStart"/>
      <w:r w:rsidR="008F76EF">
        <w:t>The</w:t>
      </w:r>
      <w:proofErr w:type="gramEnd"/>
      <w:r w:rsidR="008F76EF">
        <w:t xml:space="preserve"> total protein in BALF. </w:t>
      </w:r>
      <w:r w:rsidR="008F76EF">
        <w:rPr>
          <w:b/>
          <w:bCs/>
        </w:rPr>
        <w:t xml:space="preserve">f </w:t>
      </w:r>
      <w:r w:rsidR="008F76EF">
        <w:t>BALF levels of IL-6.</w:t>
      </w:r>
      <w:r w:rsidR="008F76EF">
        <w:t xml:space="preserve"> </w:t>
      </w:r>
      <w:r w:rsidR="008F76EF" w:rsidRPr="008F76EF">
        <w:rPr>
          <w:b/>
          <w:bCs/>
        </w:rPr>
        <w:t>g</w:t>
      </w:r>
      <w:r w:rsidR="008F76EF">
        <w:t xml:space="preserve"> </w:t>
      </w:r>
      <w:r w:rsidR="008F76EF">
        <w:t xml:space="preserve">BALF levels of </w:t>
      </w:r>
      <w:proofErr w:type="spellStart"/>
      <w:r w:rsidR="008F76EF">
        <w:t>cfDNA</w:t>
      </w:r>
      <w:proofErr w:type="spellEnd"/>
      <w:r w:rsidR="008F76EF">
        <w:t xml:space="preserve">. </w:t>
      </w:r>
      <w:r w:rsidR="00E5297A" w:rsidRPr="00E5297A">
        <w:rPr>
          <w:b/>
          <w:bCs/>
        </w:rPr>
        <w:t xml:space="preserve">h, </w:t>
      </w:r>
      <w:proofErr w:type="spellStart"/>
      <w:r w:rsidR="00E5297A">
        <w:rPr>
          <w:b/>
          <w:bCs/>
        </w:rPr>
        <w:t>i</w:t>
      </w:r>
      <w:proofErr w:type="spellEnd"/>
      <w:r w:rsidR="00E5297A">
        <w:rPr>
          <w:b/>
          <w:bCs/>
        </w:rPr>
        <w:t xml:space="preserve"> </w:t>
      </w:r>
      <w:proofErr w:type="gramStart"/>
      <w:r w:rsidR="00E5297A">
        <w:t>The</w:t>
      </w:r>
      <w:proofErr w:type="gramEnd"/>
      <w:r w:rsidR="00E5297A">
        <w:t xml:space="preserve"> protein expressions of MPO, NE</w:t>
      </w:r>
      <w:r w:rsidR="00E5297A">
        <w:t>, and citH3</w:t>
      </w:r>
      <w:r w:rsidR="00E5297A">
        <w:rPr>
          <w:rFonts w:hint="eastAsia"/>
        </w:rPr>
        <w:t xml:space="preserve"> </w:t>
      </w:r>
      <w:r w:rsidR="00E5297A">
        <w:t xml:space="preserve">in the lung </w:t>
      </w:r>
      <w:r w:rsidR="00830538">
        <w:t>were</w:t>
      </w:r>
      <w:r w:rsidR="00E5297A">
        <w:t xml:space="preserve"> detected by western blot analysis</w:t>
      </w:r>
      <w:r w:rsidR="00E5297A">
        <w:t>.</w:t>
      </w:r>
      <w:r w:rsidR="00E5297A">
        <w:rPr>
          <w:rFonts w:hint="eastAsia"/>
        </w:rPr>
        <w:t xml:space="preserve"> </w:t>
      </w:r>
      <w:r w:rsidR="00A41BA9">
        <w:t xml:space="preserve">BALF: bronchoalveolar lavage fluid; TNF-α: tumor necrosis </w:t>
      </w:r>
      <w:r w:rsidR="00830538">
        <w:t>factor-alpha</w:t>
      </w:r>
      <w:r w:rsidR="00A41BA9">
        <w:t xml:space="preserve">; </w:t>
      </w:r>
      <w:r w:rsidR="00A41BA9" w:rsidRPr="00C8075C">
        <w:rPr>
          <w:rFonts w:cs="Times New Roman"/>
          <w:szCs w:val="20"/>
        </w:rPr>
        <w:t>MCP</w:t>
      </w:r>
      <w:r w:rsidR="00A41BA9">
        <w:rPr>
          <w:rFonts w:cs="Times New Roman"/>
          <w:szCs w:val="20"/>
        </w:rPr>
        <w:t>-</w:t>
      </w:r>
      <w:r w:rsidR="00A41BA9" w:rsidRPr="00C8075C">
        <w:rPr>
          <w:rFonts w:cs="Times New Roman"/>
          <w:szCs w:val="20"/>
        </w:rPr>
        <w:t>1</w:t>
      </w:r>
      <w:r w:rsidR="00A41BA9">
        <w:rPr>
          <w:rFonts w:cs="Times New Roman"/>
          <w:szCs w:val="20"/>
        </w:rPr>
        <w:t>: m</w:t>
      </w:r>
      <w:r w:rsidR="00A41BA9" w:rsidRPr="007B1624">
        <w:rPr>
          <w:rFonts w:cs="Times New Roman" w:hint="eastAsia"/>
          <w:szCs w:val="20"/>
        </w:rPr>
        <w:t>o</w:t>
      </w:r>
      <w:r w:rsidR="00A41BA9" w:rsidRPr="007B1624">
        <w:rPr>
          <w:rFonts w:cs="Times New Roman"/>
          <w:szCs w:val="20"/>
        </w:rPr>
        <w:t>nocyte chemotactic protein-1</w:t>
      </w:r>
      <w:r w:rsidR="00A41BA9">
        <w:rPr>
          <w:rFonts w:cs="Times New Roman"/>
          <w:szCs w:val="20"/>
        </w:rPr>
        <w:t>;</w:t>
      </w:r>
      <w:r w:rsidR="00A41BA9">
        <w:t xml:space="preserve"> </w:t>
      </w:r>
      <w:proofErr w:type="spellStart"/>
      <w:r w:rsidR="00A41BA9">
        <w:t>cfDNA</w:t>
      </w:r>
      <w:proofErr w:type="spellEnd"/>
      <w:r w:rsidR="00A41BA9">
        <w:t xml:space="preserve">: cell-free DNA; MPO: </w:t>
      </w:r>
      <w:r w:rsidR="00A41BA9" w:rsidRPr="00D83793">
        <w:rPr>
          <w:rFonts w:cs="Times New Roman"/>
          <w:color w:val="000000" w:themeColor="text1"/>
          <w:szCs w:val="20"/>
        </w:rPr>
        <w:t>myeloperoxidase</w:t>
      </w:r>
      <w:r w:rsidR="00A41BA9">
        <w:rPr>
          <w:rFonts w:cs="Times New Roman"/>
          <w:szCs w:val="20"/>
        </w:rPr>
        <w:t xml:space="preserve"> (MPO)</w:t>
      </w:r>
      <w:r w:rsidR="00A41BA9">
        <w:t xml:space="preserve">; NE: neutrophil elastase; citH3: </w:t>
      </w:r>
      <w:r w:rsidR="00A41BA9">
        <w:rPr>
          <w:rFonts w:cs="Times New Roman"/>
          <w:szCs w:val="20"/>
        </w:rPr>
        <w:t>citrullinated histone</w:t>
      </w:r>
      <w:r w:rsidR="00A41BA9">
        <w:t>. *</w:t>
      </w:r>
      <w:r w:rsidR="00A41BA9">
        <w:rPr>
          <w:i/>
          <w:iCs/>
        </w:rPr>
        <w:t>p</w:t>
      </w:r>
      <w:r w:rsidR="00A41BA9">
        <w:t xml:space="preserve"> &lt; 0.05, **</w:t>
      </w:r>
      <w:r w:rsidR="00A41BA9">
        <w:rPr>
          <w:i/>
          <w:iCs/>
        </w:rPr>
        <w:t>p</w:t>
      </w:r>
      <w:r w:rsidR="00A41BA9">
        <w:t xml:space="preserve"> &lt; 0.01, ***</w:t>
      </w:r>
      <w:r w:rsidR="00A41BA9">
        <w:rPr>
          <w:i/>
          <w:iCs/>
        </w:rPr>
        <w:t>p</w:t>
      </w:r>
      <w:r w:rsidR="00A41BA9">
        <w:t xml:space="preserve"> &lt; 0.001, and ****</w:t>
      </w:r>
      <w:r w:rsidR="00A41BA9">
        <w:rPr>
          <w:i/>
          <w:iCs/>
        </w:rPr>
        <w:t>p</w:t>
      </w:r>
      <w:r w:rsidR="00A41BA9">
        <w:t xml:space="preserve"> &lt; 0.0001 when compared with control group; ns = not significant.</w:t>
      </w:r>
    </w:p>
    <w:p w14:paraId="0D1B239D" w14:textId="184E91A4" w:rsidR="00CD6E4F" w:rsidRDefault="00E5297A" w:rsidP="00E5297A">
      <w:pPr>
        <w:ind w:firstLineChars="100" w:firstLine="200"/>
        <w:rPr>
          <w:rFonts w:cs="Times New Roman"/>
          <w:szCs w:val="20"/>
        </w:rPr>
      </w:pPr>
      <w:r>
        <w:rPr>
          <w:rFonts w:cs="Times New Roman"/>
          <w:szCs w:val="20"/>
        </w:rPr>
        <w:t>T</w:t>
      </w:r>
      <w:r w:rsidR="006E2C69" w:rsidRPr="008D2DE0">
        <w:rPr>
          <w:rFonts w:cs="Times New Roman"/>
          <w:szCs w:val="20"/>
        </w:rPr>
        <w:t xml:space="preserve">he solvent of AK0705 + absolute ethyl </w:t>
      </w:r>
      <w:r w:rsidR="00830538">
        <w:rPr>
          <w:rFonts w:cs="Times New Roman"/>
          <w:szCs w:val="20"/>
        </w:rPr>
        <w:t>alcohol-induced</w:t>
      </w:r>
      <w:r w:rsidR="006E2C69" w:rsidRPr="008D2DE0">
        <w:rPr>
          <w:rFonts w:cs="Times New Roman"/>
          <w:szCs w:val="20"/>
        </w:rPr>
        <w:t xml:space="preserve"> high expression of MPO, NE, and CitH3 in LPS-stimulated mice (Fig</w:t>
      </w:r>
      <w:r>
        <w:rPr>
          <w:rFonts w:cs="Times New Roman"/>
          <w:szCs w:val="20"/>
        </w:rPr>
        <w:t>.</w:t>
      </w:r>
      <w:r w:rsidR="006E2C69" w:rsidRPr="008D2DE0">
        <w:rPr>
          <w:rFonts w:cs="Times New Roman"/>
          <w:szCs w:val="20"/>
        </w:rPr>
        <w:t xml:space="preserve"> </w:t>
      </w:r>
      <w:r>
        <w:rPr>
          <w:rFonts w:cs="Times New Roman"/>
          <w:szCs w:val="20"/>
        </w:rPr>
        <w:t>3</w:t>
      </w:r>
      <w:r w:rsidR="006E2C69" w:rsidRPr="008D2DE0">
        <w:rPr>
          <w:rFonts w:cs="Times New Roman"/>
          <w:szCs w:val="20"/>
        </w:rPr>
        <w:t>), so we excluded absolute ethyl alcohol as a solvent.</w:t>
      </w:r>
      <w:r w:rsidR="006E2C69">
        <w:rPr>
          <w:rFonts w:cs="Times New Roman"/>
          <w:szCs w:val="20"/>
        </w:rPr>
        <w:t xml:space="preserve"> </w:t>
      </w:r>
      <w:r>
        <w:rPr>
          <w:rFonts w:cs="Times New Roman"/>
          <w:szCs w:val="20"/>
        </w:rPr>
        <w:t>As above</w:t>
      </w:r>
      <w:r w:rsidR="006E2C69" w:rsidRPr="008D2DE0">
        <w:rPr>
          <w:rFonts w:cs="Times New Roman"/>
          <w:szCs w:val="20"/>
        </w:rPr>
        <w:t xml:space="preserve"> results indicate that the early and higher doses of AK0705 treatment were more effective than the late and lower </w:t>
      </w:r>
      <w:r w:rsidR="006E2C69" w:rsidRPr="008D2DE0">
        <w:rPr>
          <w:rFonts w:cs="Times New Roman"/>
          <w:szCs w:val="20"/>
        </w:rPr>
        <w:lastRenderedPageBreak/>
        <w:t>doses. Hence, the 3 mg/kg AK0705 treatment group was excluded from the following mechanistic experiments</w:t>
      </w:r>
      <w:r w:rsidR="000C54BA">
        <w:rPr>
          <w:rFonts w:cs="Times New Roman"/>
          <w:szCs w:val="20"/>
        </w:rPr>
        <w:t>.</w:t>
      </w:r>
    </w:p>
    <w:p w14:paraId="185E52E8" w14:textId="77777777" w:rsidR="00830538" w:rsidRDefault="00830538" w:rsidP="00830538">
      <w:pPr>
        <w:rPr>
          <w:rFonts w:cs="Times New Roman" w:hint="eastAsia"/>
          <w:szCs w:val="20"/>
        </w:rPr>
      </w:pPr>
    </w:p>
    <w:p w14:paraId="06C0107E" w14:textId="77777777" w:rsidR="00BB41CB" w:rsidRDefault="00CD6E4F" w:rsidP="00BB41CB">
      <w:pPr>
        <w:keepNext/>
      </w:pPr>
      <w:r>
        <w:rPr>
          <w:rFonts w:hint="eastAsia"/>
          <w:noProof/>
        </w:rPr>
        <w:drawing>
          <wp:inline distT="0" distB="0" distL="0" distR="0" wp14:anchorId="5EA2E1C3" wp14:editId="4EEE1263">
            <wp:extent cx="5274310" cy="7016750"/>
            <wp:effectExtent l="0" t="0" r="0" b="6350"/>
            <wp:docPr id="17872037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203763" name="图片 1787203763"/>
                    <pic:cNvPicPr/>
                  </pic:nvPicPr>
                  <pic:blipFill>
                    <a:blip r:embed="rId9">
                      <a:extLst>
                        <a:ext uri="{28A0092B-C50C-407E-A947-70E740481C1C}">
                          <a14:useLocalDpi xmlns:a14="http://schemas.microsoft.com/office/drawing/2010/main" val="0"/>
                        </a:ext>
                      </a:extLst>
                    </a:blip>
                    <a:stretch>
                      <a:fillRect/>
                    </a:stretch>
                  </pic:blipFill>
                  <pic:spPr>
                    <a:xfrm>
                      <a:off x="0" y="0"/>
                      <a:ext cx="5274310" cy="7016750"/>
                    </a:xfrm>
                    <a:prstGeom prst="rect">
                      <a:avLst/>
                    </a:prstGeom>
                  </pic:spPr>
                </pic:pic>
              </a:graphicData>
            </a:graphic>
          </wp:inline>
        </w:drawing>
      </w:r>
    </w:p>
    <w:p w14:paraId="0E4C43F4" w14:textId="55F3A8A4" w:rsidR="00830538" w:rsidRPr="00830538" w:rsidRDefault="00BB41CB" w:rsidP="00BB41CB">
      <w:pPr>
        <w:rPr>
          <w:rFonts w:hint="eastAsia"/>
        </w:rPr>
      </w:pPr>
      <w:r w:rsidRPr="00E5297A">
        <w:rPr>
          <w:b/>
          <w:bCs/>
        </w:rPr>
        <w:t>Supplementary Fig</w:t>
      </w:r>
      <w:r w:rsidR="00E5297A" w:rsidRPr="00E5297A">
        <w:rPr>
          <w:b/>
          <w:bCs/>
        </w:rPr>
        <w:t>. 4</w:t>
      </w:r>
      <w:r w:rsidR="00830538">
        <w:rPr>
          <w:b/>
          <w:bCs/>
        </w:rPr>
        <w:t xml:space="preserve"> a </w:t>
      </w:r>
      <w:r w:rsidR="00830538" w:rsidRPr="00830538">
        <w:t>AK0705 concentration in BALF.</w:t>
      </w:r>
      <w:r w:rsidR="00830538">
        <w:rPr>
          <w:b/>
          <w:bCs/>
        </w:rPr>
        <w:t xml:space="preserve"> b</w:t>
      </w:r>
      <w:r w:rsidR="00830538">
        <w:t xml:space="preserve"> </w:t>
      </w:r>
      <w:proofErr w:type="gramStart"/>
      <w:r w:rsidR="00830538">
        <w:t>The</w:t>
      </w:r>
      <w:proofErr w:type="gramEnd"/>
      <w:r w:rsidR="00830538">
        <w:t xml:space="preserve"> immunofluorescent score</w:t>
      </w:r>
      <w:r w:rsidR="00830538">
        <w:t xml:space="preserve"> of NETs, MPO, and </w:t>
      </w:r>
      <w:r w:rsidR="00830538">
        <w:t>citH3</w:t>
      </w:r>
      <w:r w:rsidR="00830538">
        <w:t xml:space="preserve"> expression</w:t>
      </w:r>
      <w:r w:rsidR="00830538">
        <w:t xml:space="preserve"> in the manuscript of Fig. 5a. </w:t>
      </w:r>
      <w:r w:rsidR="00830538" w:rsidRPr="00830538">
        <w:rPr>
          <w:b/>
          <w:bCs/>
        </w:rPr>
        <w:t>c</w:t>
      </w:r>
      <w:r w:rsidR="00830538">
        <w:t xml:space="preserve"> </w:t>
      </w:r>
      <w:r w:rsidR="00830538">
        <w:t xml:space="preserve">The percentage of area coverage of NETs, MPO, and NE expression in </w:t>
      </w:r>
      <w:r w:rsidR="00830538">
        <w:t xml:space="preserve">the </w:t>
      </w:r>
      <w:r w:rsidR="00830538">
        <w:t xml:space="preserve">manuscript of </w:t>
      </w:r>
      <w:r w:rsidR="00830538">
        <w:t>Fig</w:t>
      </w:r>
      <w:r w:rsidR="00830538">
        <w:t>. 5</w:t>
      </w:r>
      <w:r w:rsidR="00830538">
        <w:t>e</w:t>
      </w:r>
      <w:r w:rsidR="00830538">
        <w:t>.</w:t>
      </w:r>
      <w:r w:rsidR="00830538" w:rsidRPr="00830538">
        <w:rPr>
          <w:b/>
          <w:bCs/>
        </w:rPr>
        <w:t xml:space="preserve"> d</w:t>
      </w:r>
      <w:r w:rsidR="00830538">
        <w:rPr>
          <w:b/>
          <w:bCs/>
        </w:rPr>
        <w:t xml:space="preserve"> </w:t>
      </w:r>
      <w:r w:rsidR="00830538">
        <w:t xml:space="preserve">The </w:t>
      </w:r>
      <w:r w:rsidR="00830538">
        <w:t>immunofluorescent</w:t>
      </w:r>
      <w:r w:rsidR="00830538">
        <w:t xml:space="preserve"> score of NETs, MPO, and </w:t>
      </w:r>
      <w:r w:rsidR="00830538">
        <w:t>NE</w:t>
      </w:r>
      <w:r w:rsidR="00830538">
        <w:t xml:space="preserve"> expression in </w:t>
      </w:r>
      <w:r w:rsidR="00830538">
        <w:t xml:space="preserve">the </w:t>
      </w:r>
      <w:r w:rsidR="00830538">
        <w:t xml:space="preserve">manuscript of fig. </w:t>
      </w:r>
      <w:r w:rsidR="00830538">
        <w:t>7c</w:t>
      </w:r>
      <w:r w:rsidR="00830538">
        <w:t>.</w:t>
      </w:r>
    </w:p>
    <w:p w14:paraId="09DD5F0C" w14:textId="77777777" w:rsidR="00BB41CB" w:rsidRDefault="00BB41CB" w:rsidP="00BB41CB"/>
    <w:p w14:paraId="066C7DCB" w14:textId="77777777" w:rsidR="00E5297A" w:rsidRDefault="00E5297A" w:rsidP="00BB41CB">
      <w:pPr>
        <w:rPr>
          <w:rFonts w:hint="eastAsia"/>
        </w:rPr>
      </w:pPr>
    </w:p>
    <w:p w14:paraId="2DBECF8A" w14:textId="4DC05A12" w:rsidR="00BB41CB" w:rsidRPr="00E5297A" w:rsidRDefault="00BB41CB" w:rsidP="00BB41CB">
      <w:pPr>
        <w:rPr>
          <w:b/>
          <w:bCs/>
        </w:rPr>
      </w:pPr>
      <w:r w:rsidRPr="00E5297A">
        <w:rPr>
          <w:b/>
          <w:bCs/>
        </w:rPr>
        <w:t>Supplementary Table</w:t>
      </w:r>
    </w:p>
    <w:tbl>
      <w:tblPr>
        <w:tblW w:w="6540" w:type="dxa"/>
        <w:tblLook w:val="04A0" w:firstRow="1" w:lastRow="0" w:firstColumn="1" w:lastColumn="0" w:noHBand="0" w:noVBand="1"/>
      </w:tblPr>
      <w:tblGrid>
        <w:gridCol w:w="3460"/>
        <w:gridCol w:w="1300"/>
        <w:gridCol w:w="1780"/>
      </w:tblGrid>
      <w:tr w:rsidR="00BB41CB" w:rsidRPr="00BB41CB" w14:paraId="326BF130" w14:textId="77777777" w:rsidTr="00BB41CB">
        <w:trPr>
          <w:trHeight w:val="860"/>
        </w:trPr>
        <w:tc>
          <w:tcPr>
            <w:tcW w:w="6540" w:type="dxa"/>
            <w:gridSpan w:val="3"/>
            <w:tcBorders>
              <w:top w:val="nil"/>
              <w:left w:val="nil"/>
              <w:bottom w:val="single" w:sz="4" w:space="0" w:color="auto"/>
              <w:right w:val="nil"/>
            </w:tcBorders>
            <w:shd w:val="clear" w:color="auto" w:fill="auto"/>
            <w:vAlign w:val="center"/>
            <w:hideMark/>
          </w:tcPr>
          <w:p w14:paraId="4D11796C" w14:textId="0C9412CC" w:rsidR="00BB41CB" w:rsidRPr="00BB41CB" w:rsidRDefault="00BB41CB" w:rsidP="00BB41CB">
            <w:pPr>
              <w:widowControl/>
              <w:jc w:val="left"/>
              <w:rPr>
                <w:rFonts w:eastAsia="DengXian" w:cs="Times New Roman"/>
                <w:color w:val="000000"/>
                <w:kern w:val="0"/>
                <w:szCs w:val="20"/>
                <w14:ligatures w14:val="none"/>
              </w:rPr>
            </w:pPr>
            <w:r w:rsidRPr="00BB41CB">
              <w:rPr>
                <w:rFonts w:eastAsia="DengXian" w:cs="Times New Roman"/>
                <w:color w:val="000000"/>
                <w:kern w:val="0"/>
                <w:szCs w:val="20"/>
                <w14:ligatures w14:val="none"/>
              </w:rPr>
              <w:t>Main kinetic parameters of AK0705 after inhalation administration (10 mg/kg) in mice:</w:t>
            </w:r>
          </w:p>
        </w:tc>
      </w:tr>
      <w:tr w:rsidR="00BB41CB" w:rsidRPr="00BB41CB" w14:paraId="5D8A8DB0" w14:textId="77777777" w:rsidTr="00BB41CB">
        <w:trPr>
          <w:trHeight w:val="340"/>
        </w:trPr>
        <w:tc>
          <w:tcPr>
            <w:tcW w:w="3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1086D1" w14:textId="77777777" w:rsidR="00BB41CB" w:rsidRPr="00BB41CB" w:rsidRDefault="00BB41CB" w:rsidP="00BB41CB">
            <w:pPr>
              <w:widowControl/>
              <w:jc w:val="center"/>
              <w:rPr>
                <w:rFonts w:eastAsia="DengXian" w:cs="Times New Roman"/>
                <w:b/>
                <w:bCs/>
                <w:color w:val="101214"/>
                <w:kern w:val="0"/>
                <w:szCs w:val="20"/>
                <w14:ligatures w14:val="none"/>
              </w:rPr>
            </w:pPr>
            <w:r w:rsidRPr="00BB41CB">
              <w:rPr>
                <w:rFonts w:eastAsia="DengXian" w:cs="Times New Roman"/>
                <w:b/>
                <w:bCs/>
                <w:color w:val="101214"/>
                <w:kern w:val="0"/>
                <w:szCs w:val="20"/>
                <w14:ligatures w14:val="none"/>
              </w:rPr>
              <w:t>Pharmacokinetic parameters</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10EB98" w14:textId="77777777" w:rsidR="00BB41CB" w:rsidRPr="00BB41CB" w:rsidRDefault="00BB41CB" w:rsidP="00BB41CB">
            <w:pPr>
              <w:widowControl/>
              <w:jc w:val="center"/>
              <w:rPr>
                <w:rFonts w:eastAsia="DengXian" w:cs="Times New Roman"/>
                <w:b/>
                <w:bCs/>
                <w:color w:val="000000"/>
                <w:kern w:val="0"/>
                <w:szCs w:val="20"/>
                <w14:ligatures w14:val="none"/>
              </w:rPr>
            </w:pPr>
            <w:r w:rsidRPr="00BB41CB">
              <w:rPr>
                <w:rFonts w:eastAsia="DengXian" w:cs="Times New Roman"/>
                <w:b/>
                <w:bCs/>
                <w:color w:val="000000"/>
                <w:kern w:val="0"/>
                <w:szCs w:val="20"/>
                <w14:ligatures w14:val="none"/>
              </w:rPr>
              <w:t>Plasma</w:t>
            </w:r>
          </w:p>
        </w:tc>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2B272C" w14:textId="77777777" w:rsidR="00BB41CB" w:rsidRPr="00BB41CB" w:rsidRDefault="00BB41CB" w:rsidP="00BB41CB">
            <w:pPr>
              <w:widowControl/>
              <w:jc w:val="center"/>
              <w:rPr>
                <w:rFonts w:eastAsia="DengXian" w:cs="Times New Roman"/>
                <w:b/>
                <w:bCs/>
                <w:color w:val="000000"/>
                <w:kern w:val="0"/>
                <w:szCs w:val="20"/>
                <w14:ligatures w14:val="none"/>
              </w:rPr>
            </w:pPr>
            <w:r w:rsidRPr="00BB41CB">
              <w:rPr>
                <w:rFonts w:eastAsia="DengXian" w:cs="Times New Roman"/>
                <w:b/>
                <w:bCs/>
                <w:color w:val="000000"/>
                <w:kern w:val="0"/>
                <w:szCs w:val="20"/>
                <w14:ligatures w14:val="none"/>
              </w:rPr>
              <w:t>Lung</w:t>
            </w:r>
          </w:p>
        </w:tc>
      </w:tr>
      <w:tr w:rsidR="00BB41CB" w:rsidRPr="00BB41CB" w14:paraId="548D4B6C" w14:textId="77777777" w:rsidTr="00BB41CB">
        <w:trPr>
          <w:trHeight w:val="480"/>
        </w:trPr>
        <w:tc>
          <w:tcPr>
            <w:tcW w:w="3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6A7673" w14:textId="77777777" w:rsidR="00BB41CB" w:rsidRPr="00BB41CB" w:rsidRDefault="00BB41CB" w:rsidP="00BB41CB">
            <w:pPr>
              <w:widowControl/>
              <w:jc w:val="center"/>
              <w:rPr>
                <w:rFonts w:eastAsia="DengXian" w:cs="Times New Roman"/>
                <w:color w:val="000000"/>
                <w:kern w:val="0"/>
                <w:szCs w:val="20"/>
                <w14:ligatures w14:val="none"/>
              </w:rPr>
            </w:pPr>
            <w:proofErr w:type="spellStart"/>
            <w:r w:rsidRPr="00BB41CB">
              <w:rPr>
                <w:rFonts w:eastAsia="DengXian" w:cs="Times New Roman"/>
                <w:color w:val="000000"/>
                <w:kern w:val="0"/>
                <w:szCs w:val="20"/>
                <w14:ligatures w14:val="none"/>
              </w:rPr>
              <w:t>C</w:t>
            </w:r>
            <w:r w:rsidRPr="00BB41CB">
              <w:rPr>
                <w:rFonts w:eastAsia="DengXian" w:cs="Times New Roman"/>
                <w:color w:val="000000"/>
                <w:kern w:val="0"/>
                <w:szCs w:val="20"/>
                <w:vertAlign w:val="subscript"/>
                <w14:ligatures w14:val="none"/>
              </w:rPr>
              <w:t>max</w:t>
            </w:r>
            <w:proofErr w:type="spellEnd"/>
            <w:r w:rsidRPr="00BB41CB">
              <w:rPr>
                <w:rFonts w:eastAsia="DengXian" w:cs="Times New Roman"/>
                <w:color w:val="000000"/>
                <w:kern w:val="0"/>
                <w:szCs w:val="20"/>
                <w14:ligatures w14:val="none"/>
              </w:rPr>
              <w:t xml:space="preserve"> (ng/ml or ng/g)</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EE7A1"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2656</w:t>
            </w:r>
          </w:p>
        </w:tc>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18DAC4"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47970</w:t>
            </w:r>
          </w:p>
        </w:tc>
      </w:tr>
      <w:tr w:rsidR="00BB41CB" w:rsidRPr="00BB41CB" w14:paraId="75A6620F" w14:textId="77777777" w:rsidTr="00BB41CB">
        <w:trPr>
          <w:trHeight w:val="380"/>
        </w:trPr>
        <w:tc>
          <w:tcPr>
            <w:tcW w:w="3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934D3F" w14:textId="77777777" w:rsidR="00BB41CB" w:rsidRPr="00BB41CB" w:rsidRDefault="00BB41CB" w:rsidP="00BB41CB">
            <w:pPr>
              <w:widowControl/>
              <w:jc w:val="center"/>
              <w:rPr>
                <w:rFonts w:eastAsia="DengXian" w:cs="Times New Roman"/>
                <w:color w:val="000000"/>
                <w:kern w:val="0"/>
                <w:szCs w:val="20"/>
                <w14:ligatures w14:val="none"/>
              </w:rPr>
            </w:pPr>
            <w:proofErr w:type="spellStart"/>
            <w:r w:rsidRPr="00BB41CB">
              <w:rPr>
                <w:rFonts w:eastAsia="DengXian" w:cs="Times New Roman"/>
                <w:color w:val="000000"/>
                <w:kern w:val="0"/>
                <w:szCs w:val="20"/>
                <w14:ligatures w14:val="none"/>
              </w:rPr>
              <w:t>T</w:t>
            </w:r>
            <w:r w:rsidRPr="00BB41CB">
              <w:rPr>
                <w:rFonts w:eastAsia="DengXian" w:cs="Times New Roman"/>
                <w:color w:val="000000"/>
                <w:kern w:val="0"/>
                <w:szCs w:val="20"/>
                <w:vertAlign w:val="subscript"/>
                <w14:ligatures w14:val="none"/>
              </w:rPr>
              <w:t>max</w:t>
            </w:r>
            <w:proofErr w:type="spellEnd"/>
            <w:r w:rsidRPr="00BB41CB">
              <w:rPr>
                <w:rFonts w:eastAsia="DengXian" w:cs="Times New Roman"/>
                <w:color w:val="000000"/>
                <w:kern w:val="0"/>
                <w:szCs w:val="20"/>
                <w14:ligatures w14:val="none"/>
              </w:rPr>
              <w:t xml:space="preserve"> (h)</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073749"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0.25</w:t>
            </w:r>
          </w:p>
        </w:tc>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E0DDB6"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0.25</w:t>
            </w:r>
          </w:p>
        </w:tc>
      </w:tr>
      <w:tr w:rsidR="00BB41CB" w:rsidRPr="00BB41CB" w14:paraId="50BD2BC5" w14:textId="77777777" w:rsidTr="00BB41CB">
        <w:trPr>
          <w:trHeight w:val="380"/>
        </w:trPr>
        <w:tc>
          <w:tcPr>
            <w:tcW w:w="3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0CDC94"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T</w:t>
            </w:r>
            <w:r w:rsidRPr="00BB41CB">
              <w:rPr>
                <w:rFonts w:eastAsia="DengXian" w:cs="Times New Roman"/>
                <w:color w:val="000000"/>
                <w:kern w:val="0"/>
                <w:szCs w:val="20"/>
                <w:vertAlign w:val="subscript"/>
                <w14:ligatures w14:val="none"/>
              </w:rPr>
              <w:t>1/2</w:t>
            </w:r>
            <w:r w:rsidRPr="00BB41CB">
              <w:rPr>
                <w:rFonts w:eastAsia="DengXian" w:cs="Times New Roman"/>
                <w:color w:val="000000"/>
                <w:kern w:val="0"/>
                <w:szCs w:val="20"/>
                <w14:ligatures w14:val="none"/>
              </w:rPr>
              <w:t>(h)</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76C84D"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3.41</w:t>
            </w:r>
          </w:p>
        </w:tc>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EEDDBA"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2.15</w:t>
            </w:r>
          </w:p>
        </w:tc>
      </w:tr>
      <w:tr w:rsidR="00BB41CB" w:rsidRPr="00BB41CB" w14:paraId="3E58394F" w14:textId="77777777" w:rsidTr="00BB41CB">
        <w:trPr>
          <w:trHeight w:val="700"/>
        </w:trPr>
        <w:tc>
          <w:tcPr>
            <w:tcW w:w="3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450082"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AUC</w:t>
            </w:r>
            <w:r w:rsidRPr="00BB41CB">
              <w:rPr>
                <w:rFonts w:eastAsia="DengXian" w:cs="Times New Roman"/>
                <w:color w:val="000000"/>
                <w:kern w:val="0"/>
                <w:szCs w:val="20"/>
                <w:vertAlign w:val="subscript"/>
                <w14:ligatures w14:val="none"/>
              </w:rPr>
              <w:t>0-12</w:t>
            </w:r>
            <w:r w:rsidRPr="00BB41CB">
              <w:rPr>
                <w:rFonts w:eastAsia="DengXian" w:cs="Times New Roman"/>
                <w:color w:val="000000"/>
                <w:kern w:val="0"/>
                <w:szCs w:val="20"/>
                <w14:ligatures w14:val="none"/>
              </w:rPr>
              <w:t>(</w:t>
            </w:r>
            <w:proofErr w:type="spellStart"/>
            <w:r w:rsidRPr="00BB41CB">
              <w:rPr>
                <w:rFonts w:eastAsia="DengXian" w:cs="Times New Roman"/>
                <w:color w:val="000000"/>
                <w:kern w:val="0"/>
                <w:szCs w:val="20"/>
                <w14:ligatures w14:val="none"/>
              </w:rPr>
              <w:t>ng.h</w:t>
            </w:r>
            <w:proofErr w:type="spellEnd"/>
            <w:r w:rsidRPr="00BB41CB">
              <w:rPr>
                <w:rFonts w:eastAsia="DengXian" w:cs="Times New Roman"/>
                <w:color w:val="000000"/>
                <w:kern w:val="0"/>
                <w:szCs w:val="20"/>
                <w14:ligatures w14:val="none"/>
              </w:rPr>
              <w:t xml:space="preserve">/ml or </w:t>
            </w:r>
            <w:proofErr w:type="spellStart"/>
            <w:r w:rsidRPr="00BB41CB">
              <w:rPr>
                <w:rFonts w:eastAsia="DengXian" w:cs="Times New Roman"/>
                <w:color w:val="000000"/>
                <w:kern w:val="0"/>
                <w:szCs w:val="20"/>
                <w14:ligatures w14:val="none"/>
              </w:rPr>
              <w:t>ng.h</w:t>
            </w:r>
            <w:proofErr w:type="spellEnd"/>
            <w:r w:rsidRPr="00BB41CB">
              <w:rPr>
                <w:rFonts w:eastAsia="DengXian" w:cs="Times New Roman"/>
                <w:color w:val="000000"/>
                <w:kern w:val="0"/>
                <w:szCs w:val="20"/>
                <w14:ligatures w14:val="none"/>
              </w:rPr>
              <w:t>/g)</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3129D4"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1986</w:t>
            </w:r>
          </w:p>
        </w:tc>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1EA979"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45120</w:t>
            </w:r>
          </w:p>
        </w:tc>
      </w:tr>
      <w:tr w:rsidR="00BB41CB" w:rsidRPr="00BB41CB" w14:paraId="0FD20DCA" w14:textId="77777777" w:rsidTr="00BB41CB">
        <w:trPr>
          <w:trHeight w:val="640"/>
        </w:trPr>
        <w:tc>
          <w:tcPr>
            <w:tcW w:w="3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9B67EF"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AUC</w:t>
            </w:r>
            <w:r w:rsidRPr="00BB41CB">
              <w:rPr>
                <w:rFonts w:eastAsia="DengXian" w:cs="Times New Roman"/>
                <w:color w:val="000000"/>
                <w:kern w:val="0"/>
                <w:szCs w:val="20"/>
                <w:vertAlign w:val="subscript"/>
                <w14:ligatures w14:val="none"/>
              </w:rPr>
              <w:t>0-inf</w:t>
            </w:r>
            <w:r w:rsidRPr="00BB41CB">
              <w:rPr>
                <w:rFonts w:eastAsia="DengXian" w:cs="Times New Roman"/>
                <w:color w:val="000000"/>
                <w:kern w:val="0"/>
                <w:szCs w:val="20"/>
                <w14:ligatures w14:val="none"/>
              </w:rPr>
              <w:t xml:space="preserve"> (</w:t>
            </w:r>
            <w:proofErr w:type="spellStart"/>
            <w:r w:rsidRPr="00BB41CB">
              <w:rPr>
                <w:rFonts w:eastAsia="DengXian" w:cs="Times New Roman"/>
                <w:color w:val="000000"/>
                <w:kern w:val="0"/>
                <w:szCs w:val="20"/>
                <w14:ligatures w14:val="none"/>
              </w:rPr>
              <w:t>ng.h</w:t>
            </w:r>
            <w:proofErr w:type="spellEnd"/>
            <w:r w:rsidRPr="00BB41CB">
              <w:rPr>
                <w:rFonts w:eastAsia="DengXian" w:cs="Times New Roman"/>
                <w:color w:val="000000"/>
                <w:kern w:val="0"/>
                <w:szCs w:val="20"/>
                <w14:ligatures w14:val="none"/>
              </w:rPr>
              <w:t xml:space="preserve">/ml or </w:t>
            </w:r>
            <w:proofErr w:type="spellStart"/>
            <w:r w:rsidRPr="00BB41CB">
              <w:rPr>
                <w:rFonts w:eastAsia="DengXian" w:cs="Times New Roman"/>
                <w:color w:val="000000"/>
                <w:kern w:val="0"/>
                <w:szCs w:val="20"/>
                <w14:ligatures w14:val="none"/>
              </w:rPr>
              <w:t>ng.h</w:t>
            </w:r>
            <w:proofErr w:type="spellEnd"/>
            <w:r w:rsidRPr="00BB41CB">
              <w:rPr>
                <w:rFonts w:eastAsia="DengXian" w:cs="Times New Roman"/>
                <w:color w:val="000000"/>
                <w:kern w:val="0"/>
                <w:szCs w:val="20"/>
                <w14:ligatures w14:val="none"/>
              </w:rPr>
              <w:t>/g)</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EF2CAB"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2083</w:t>
            </w:r>
          </w:p>
        </w:tc>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9164BA" w14:textId="77777777" w:rsidR="00BB41CB" w:rsidRPr="00BB41CB" w:rsidRDefault="00BB41CB" w:rsidP="00BB41CB">
            <w:pPr>
              <w:widowControl/>
              <w:jc w:val="center"/>
              <w:rPr>
                <w:rFonts w:eastAsia="DengXian" w:cs="Times New Roman"/>
                <w:color w:val="000000"/>
                <w:kern w:val="0"/>
                <w:szCs w:val="20"/>
                <w14:ligatures w14:val="none"/>
              </w:rPr>
            </w:pPr>
            <w:r w:rsidRPr="00BB41CB">
              <w:rPr>
                <w:rFonts w:eastAsia="DengXian" w:cs="Times New Roman"/>
                <w:color w:val="000000"/>
                <w:kern w:val="0"/>
                <w:szCs w:val="20"/>
                <w14:ligatures w14:val="none"/>
              </w:rPr>
              <w:t>45604</w:t>
            </w:r>
          </w:p>
        </w:tc>
      </w:tr>
    </w:tbl>
    <w:p w14:paraId="4751CC3C" w14:textId="77777777" w:rsidR="00E5297A" w:rsidRDefault="00E5297A" w:rsidP="00E5297A">
      <w:pPr>
        <w:rPr>
          <w:rFonts w:cs="Times New Roman" w:hint="eastAsia"/>
          <w:szCs w:val="20"/>
        </w:rPr>
      </w:pPr>
    </w:p>
    <w:p w14:paraId="597F425A" w14:textId="77777777" w:rsidR="00BB41CB" w:rsidRPr="00E5297A" w:rsidRDefault="00BB41CB" w:rsidP="00BB41CB"/>
    <w:sectPr w:rsidR="00BB41CB" w:rsidRPr="00E529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47632" w14:textId="77777777" w:rsidR="00840A40" w:rsidRDefault="00840A40" w:rsidP="00E5297A">
      <w:r>
        <w:separator/>
      </w:r>
    </w:p>
  </w:endnote>
  <w:endnote w:type="continuationSeparator" w:id="0">
    <w:p w14:paraId="6526D550" w14:textId="77777777" w:rsidR="00840A40" w:rsidRDefault="00840A40" w:rsidP="00E529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Microsoft Uighur">
    <w:panose1 w:val="02000000000000000000"/>
    <w:charset w:val="B2"/>
    <w:family w:val="auto"/>
    <w:pitch w:val="variable"/>
    <w:sig w:usb0="80002003" w:usb1="80000000" w:usb2="00000008" w:usb3="00000000" w:csb0="00000041" w:csb1="00000000"/>
  </w:font>
  <w:font w:name="Times New Roman">
    <w:panose1 w:val="02020603050405020304"/>
    <w:charset w:val="00"/>
    <w:family w:val="roman"/>
    <w:pitch w:val="variable"/>
    <w:sig w:usb0="E0007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4194C3" w14:textId="77777777" w:rsidR="00840A40" w:rsidRDefault="00840A40" w:rsidP="00E5297A">
      <w:r>
        <w:separator/>
      </w:r>
    </w:p>
  </w:footnote>
  <w:footnote w:type="continuationSeparator" w:id="0">
    <w:p w14:paraId="46EA5432" w14:textId="77777777" w:rsidR="00840A40" w:rsidRDefault="00840A40" w:rsidP="00E529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E4F"/>
    <w:rsid w:val="00030A58"/>
    <w:rsid w:val="000462F4"/>
    <w:rsid w:val="00064C2D"/>
    <w:rsid w:val="00067E08"/>
    <w:rsid w:val="000919B3"/>
    <w:rsid w:val="000A79FC"/>
    <w:rsid w:val="000C54BA"/>
    <w:rsid w:val="000F54A9"/>
    <w:rsid w:val="00105D31"/>
    <w:rsid w:val="0012771B"/>
    <w:rsid w:val="0014434B"/>
    <w:rsid w:val="00152EA2"/>
    <w:rsid w:val="00172890"/>
    <w:rsid w:val="001C6632"/>
    <w:rsid w:val="001D48EE"/>
    <w:rsid w:val="001D5475"/>
    <w:rsid w:val="002156B2"/>
    <w:rsid w:val="0022771D"/>
    <w:rsid w:val="002C3463"/>
    <w:rsid w:val="002C7667"/>
    <w:rsid w:val="002E2AE1"/>
    <w:rsid w:val="002F7C12"/>
    <w:rsid w:val="00301FB3"/>
    <w:rsid w:val="0032186C"/>
    <w:rsid w:val="00321E95"/>
    <w:rsid w:val="003254DA"/>
    <w:rsid w:val="003615E8"/>
    <w:rsid w:val="00371554"/>
    <w:rsid w:val="00383BD5"/>
    <w:rsid w:val="003A3EB5"/>
    <w:rsid w:val="003E2CDA"/>
    <w:rsid w:val="004021F5"/>
    <w:rsid w:val="00406B6C"/>
    <w:rsid w:val="00431032"/>
    <w:rsid w:val="00442E30"/>
    <w:rsid w:val="00456B30"/>
    <w:rsid w:val="004701BB"/>
    <w:rsid w:val="00473E26"/>
    <w:rsid w:val="00475A62"/>
    <w:rsid w:val="00483539"/>
    <w:rsid w:val="00487DB6"/>
    <w:rsid w:val="004A3BEF"/>
    <w:rsid w:val="004A636C"/>
    <w:rsid w:val="004E4193"/>
    <w:rsid w:val="004F6842"/>
    <w:rsid w:val="00502CFD"/>
    <w:rsid w:val="00520C30"/>
    <w:rsid w:val="0053434F"/>
    <w:rsid w:val="00556836"/>
    <w:rsid w:val="0056105B"/>
    <w:rsid w:val="005877CC"/>
    <w:rsid w:val="00603690"/>
    <w:rsid w:val="00656439"/>
    <w:rsid w:val="00664D6F"/>
    <w:rsid w:val="00673A7C"/>
    <w:rsid w:val="00674338"/>
    <w:rsid w:val="006A6425"/>
    <w:rsid w:val="006B05B9"/>
    <w:rsid w:val="006B7D21"/>
    <w:rsid w:val="006C5EB8"/>
    <w:rsid w:val="006D4619"/>
    <w:rsid w:val="006E27E9"/>
    <w:rsid w:val="006E2C69"/>
    <w:rsid w:val="00724BA5"/>
    <w:rsid w:val="00727BD7"/>
    <w:rsid w:val="00782FFE"/>
    <w:rsid w:val="007A4B4F"/>
    <w:rsid w:val="007B02A9"/>
    <w:rsid w:val="007B7009"/>
    <w:rsid w:val="007D332D"/>
    <w:rsid w:val="007D6A1F"/>
    <w:rsid w:val="007D7241"/>
    <w:rsid w:val="007E74DE"/>
    <w:rsid w:val="007F7D98"/>
    <w:rsid w:val="00803CFE"/>
    <w:rsid w:val="00830538"/>
    <w:rsid w:val="00840A40"/>
    <w:rsid w:val="0087072F"/>
    <w:rsid w:val="00895862"/>
    <w:rsid w:val="008D21E8"/>
    <w:rsid w:val="008E49DB"/>
    <w:rsid w:val="008F76EF"/>
    <w:rsid w:val="0090017F"/>
    <w:rsid w:val="00915EDA"/>
    <w:rsid w:val="00922BA4"/>
    <w:rsid w:val="009741F8"/>
    <w:rsid w:val="00985DFB"/>
    <w:rsid w:val="009C483A"/>
    <w:rsid w:val="009D150D"/>
    <w:rsid w:val="009F09A6"/>
    <w:rsid w:val="009F598E"/>
    <w:rsid w:val="00A30E27"/>
    <w:rsid w:val="00A41BA9"/>
    <w:rsid w:val="00AC2E47"/>
    <w:rsid w:val="00B01039"/>
    <w:rsid w:val="00B22869"/>
    <w:rsid w:val="00B27AF0"/>
    <w:rsid w:val="00B37D89"/>
    <w:rsid w:val="00B57F86"/>
    <w:rsid w:val="00B676FE"/>
    <w:rsid w:val="00B82832"/>
    <w:rsid w:val="00BB2303"/>
    <w:rsid w:val="00BB3755"/>
    <w:rsid w:val="00BB41CB"/>
    <w:rsid w:val="00C575AA"/>
    <w:rsid w:val="00C6619A"/>
    <w:rsid w:val="00C9537C"/>
    <w:rsid w:val="00CA4F62"/>
    <w:rsid w:val="00CB18B8"/>
    <w:rsid w:val="00CD32D8"/>
    <w:rsid w:val="00CD6E4F"/>
    <w:rsid w:val="00D05A91"/>
    <w:rsid w:val="00D4711A"/>
    <w:rsid w:val="00D53C6D"/>
    <w:rsid w:val="00D5691F"/>
    <w:rsid w:val="00D5728E"/>
    <w:rsid w:val="00D61C98"/>
    <w:rsid w:val="00D81F1A"/>
    <w:rsid w:val="00D8332D"/>
    <w:rsid w:val="00D86291"/>
    <w:rsid w:val="00D96F65"/>
    <w:rsid w:val="00DB20A7"/>
    <w:rsid w:val="00DB23AB"/>
    <w:rsid w:val="00DD140C"/>
    <w:rsid w:val="00DD1620"/>
    <w:rsid w:val="00E365A0"/>
    <w:rsid w:val="00E5297A"/>
    <w:rsid w:val="00E941D6"/>
    <w:rsid w:val="00E96D48"/>
    <w:rsid w:val="00EB2EF1"/>
    <w:rsid w:val="00ED46BD"/>
    <w:rsid w:val="00F02361"/>
    <w:rsid w:val="00F05BE3"/>
    <w:rsid w:val="00F223F6"/>
    <w:rsid w:val="00F25B8A"/>
    <w:rsid w:val="00F33B29"/>
    <w:rsid w:val="00F505A8"/>
    <w:rsid w:val="00F55C93"/>
    <w:rsid w:val="00F84FC4"/>
    <w:rsid w:val="00FF2C73"/>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F181B"/>
  <w15:chartTrackingRefBased/>
  <w15:docId w15:val="{52355733-18A4-AD4C-A750-FA7D7AB33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636C"/>
    <w:pPr>
      <w:widowControl w:val="0"/>
      <w:jc w:val="both"/>
    </w:pPr>
    <w:rPr>
      <w:rFonts w:ascii="Times New Roman" w:hAnsi="Times New Roman"/>
      <w:sz w:val="20"/>
    </w:rPr>
  </w:style>
  <w:style w:type="paragraph" w:styleId="1">
    <w:name w:val="heading 1"/>
    <w:basedOn w:val="a"/>
    <w:next w:val="a"/>
    <w:link w:val="10"/>
    <w:uiPriority w:val="9"/>
    <w:qFormat/>
    <w:rsid w:val="004A636C"/>
    <w:pPr>
      <w:keepNext/>
      <w:keepLines/>
      <w:spacing w:before="480" w:after="80"/>
      <w:outlineLvl w:val="0"/>
    </w:pPr>
    <w:rPr>
      <w:rFonts w:eastAsiaTheme="majorEastAsia" w:cstheme="majorBidi"/>
      <w:color w:val="0F4761" w:themeColor="accent1" w:themeShade="BF"/>
      <w:szCs w:val="48"/>
    </w:rPr>
  </w:style>
  <w:style w:type="paragraph" w:styleId="2">
    <w:name w:val="heading 2"/>
    <w:basedOn w:val="a"/>
    <w:next w:val="a"/>
    <w:link w:val="20"/>
    <w:uiPriority w:val="9"/>
    <w:semiHidden/>
    <w:unhideWhenUsed/>
    <w:qFormat/>
    <w:rsid w:val="00CD6E4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D6E4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D6E4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D6E4F"/>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D6E4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D6E4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D6E4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D6E4F"/>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A636C"/>
    <w:rPr>
      <w:rFonts w:ascii="Times New Roman" w:eastAsiaTheme="majorEastAsia" w:hAnsi="Times New Roman" w:cstheme="majorBidi"/>
      <w:color w:val="0F4761" w:themeColor="accent1" w:themeShade="BF"/>
      <w:sz w:val="20"/>
      <w:szCs w:val="48"/>
    </w:rPr>
  </w:style>
  <w:style w:type="character" w:customStyle="1" w:styleId="20">
    <w:name w:val="标题 2 字符"/>
    <w:basedOn w:val="a0"/>
    <w:link w:val="2"/>
    <w:uiPriority w:val="9"/>
    <w:semiHidden/>
    <w:rsid w:val="00CD6E4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D6E4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D6E4F"/>
    <w:rPr>
      <w:rFonts w:cstheme="majorBidi"/>
      <w:color w:val="0F4761" w:themeColor="accent1" w:themeShade="BF"/>
      <w:sz w:val="28"/>
      <w:szCs w:val="28"/>
    </w:rPr>
  </w:style>
  <w:style w:type="character" w:customStyle="1" w:styleId="50">
    <w:name w:val="标题 5 字符"/>
    <w:basedOn w:val="a0"/>
    <w:link w:val="5"/>
    <w:uiPriority w:val="9"/>
    <w:semiHidden/>
    <w:rsid w:val="00CD6E4F"/>
    <w:rPr>
      <w:rFonts w:cstheme="majorBidi"/>
      <w:color w:val="0F4761" w:themeColor="accent1" w:themeShade="BF"/>
      <w:sz w:val="24"/>
    </w:rPr>
  </w:style>
  <w:style w:type="character" w:customStyle="1" w:styleId="60">
    <w:name w:val="标题 6 字符"/>
    <w:basedOn w:val="a0"/>
    <w:link w:val="6"/>
    <w:uiPriority w:val="9"/>
    <w:semiHidden/>
    <w:rsid w:val="00CD6E4F"/>
    <w:rPr>
      <w:rFonts w:cstheme="majorBidi"/>
      <w:b/>
      <w:bCs/>
      <w:color w:val="0F4761" w:themeColor="accent1" w:themeShade="BF"/>
    </w:rPr>
  </w:style>
  <w:style w:type="character" w:customStyle="1" w:styleId="70">
    <w:name w:val="标题 7 字符"/>
    <w:basedOn w:val="a0"/>
    <w:link w:val="7"/>
    <w:uiPriority w:val="9"/>
    <w:semiHidden/>
    <w:rsid w:val="00CD6E4F"/>
    <w:rPr>
      <w:rFonts w:cstheme="majorBidi"/>
      <w:b/>
      <w:bCs/>
      <w:color w:val="595959" w:themeColor="text1" w:themeTint="A6"/>
    </w:rPr>
  </w:style>
  <w:style w:type="character" w:customStyle="1" w:styleId="80">
    <w:name w:val="标题 8 字符"/>
    <w:basedOn w:val="a0"/>
    <w:link w:val="8"/>
    <w:uiPriority w:val="9"/>
    <w:semiHidden/>
    <w:rsid w:val="00CD6E4F"/>
    <w:rPr>
      <w:rFonts w:cstheme="majorBidi"/>
      <w:color w:val="595959" w:themeColor="text1" w:themeTint="A6"/>
    </w:rPr>
  </w:style>
  <w:style w:type="character" w:customStyle="1" w:styleId="90">
    <w:name w:val="标题 9 字符"/>
    <w:basedOn w:val="a0"/>
    <w:link w:val="9"/>
    <w:uiPriority w:val="9"/>
    <w:semiHidden/>
    <w:rsid w:val="00CD6E4F"/>
    <w:rPr>
      <w:rFonts w:eastAsiaTheme="majorEastAsia" w:cstheme="majorBidi"/>
      <w:color w:val="595959" w:themeColor="text1" w:themeTint="A6"/>
    </w:rPr>
  </w:style>
  <w:style w:type="paragraph" w:styleId="a3">
    <w:name w:val="Title"/>
    <w:basedOn w:val="a"/>
    <w:next w:val="a"/>
    <w:link w:val="a4"/>
    <w:uiPriority w:val="10"/>
    <w:qFormat/>
    <w:rsid w:val="00CD6E4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D6E4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D6E4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D6E4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D6E4F"/>
    <w:pPr>
      <w:spacing w:before="160" w:after="160"/>
      <w:jc w:val="center"/>
    </w:pPr>
    <w:rPr>
      <w:i/>
      <w:iCs/>
      <w:color w:val="404040" w:themeColor="text1" w:themeTint="BF"/>
    </w:rPr>
  </w:style>
  <w:style w:type="character" w:customStyle="1" w:styleId="a8">
    <w:name w:val="引用 字符"/>
    <w:basedOn w:val="a0"/>
    <w:link w:val="a7"/>
    <w:uiPriority w:val="29"/>
    <w:rsid w:val="00CD6E4F"/>
    <w:rPr>
      <w:i/>
      <w:iCs/>
      <w:color w:val="404040" w:themeColor="text1" w:themeTint="BF"/>
    </w:rPr>
  </w:style>
  <w:style w:type="paragraph" w:styleId="a9">
    <w:name w:val="List Paragraph"/>
    <w:basedOn w:val="a"/>
    <w:uiPriority w:val="34"/>
    <w:qFormat/>
    <w:rsid w:val="00CD6E4F"/>
    <w:pPr>
      <w:ind w:left="720"/>
      <w:contextualSpacing/>
    </w:pPr>
  </w:style>
  <w:style w:type="character" w:styleId="aa">
    <w:name w:val="Intense Emphasis"/>
    <w:basedOn w:val="a0"/>
    <w:uiPriority w:val="21"/>
    <w:qFormat/>
    <w:rsid w:val="00CD6E4F"/>
    <w:rPr>
      <w:i/>
      <w:iCs/>
      <w:color w:val="0F4761" w:themeColor="accent1" w:themeShade="BF"/>
    </w:rPr>
  </w:style>
  <w:style w:type="paragraph" w:styleId="ab">
    <w:name w:val="Intense Quote"/>
    <w:basedOn w:val="a"/>
    <w:next w:val="a"/>
    <w:link w:val="ac"/>
    <w:uiPriority w:val="30"/>
    <w:qFormat/>
    <w:rsid w:val="00CD6E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D6E4F"/>
    <w:rPr>
      <w:i/>
      <w:iCs/>
      <w:color w:val="0F4761" w:themeColor="accent1" w:themeShade="BF"/>
    </w:rPr>
  </w:style>
  <w:style w:type="character" w:styleId="ad">
    <w:name w:val="Intense Reference"/>
    <w:basedOn w:val="a0"/>
    <w:uiPriority w:val="32"/>
    <w:qFormat/>
    <w:rsid w:val="00CD6E4F"/>
    <w:rPr>
      <w:b/>
      <w:bCs/>
      <w:smallCaps/>
      <w:color w:val="0F4761" w:themeColor="accent1" w:themeShade="BF"/>
      <w:spacing w:val="5"/>
    </w:rPr>
  </w:style>
  <w:style w:type="paragraph" w:styleId="ae">
    <w:name w:val="caption"/>
    <w:basedOn w:val="a"/>
    <w:next w:val="a"/>
    <w:uiPriority w:val="35"/>
    <w:unhideWhenUsed/>
    <w:qFormat/>
    <w:rsid w:val="004A636C"/>
    <w:rPr>
      <w:rFonts w:asciiTheme="majorHAnsi" w:eastAsia="黑体" w:hAnsiTheme="majorHAnsi" w:cstheme="majorBidi"/>
      <w:szCs w:val="20"/>
    </w:rPr>
  </w:style>
  <w:style w:type="paragraph" w:styleId="af">
    <w:name w:val="header"/>
    <w:basedOn w:val="a"/>
    <w:link w:val="af0"/>
    <w:uiPriority w:val="99"/>
    <w:unhideWhenUsed/>
    <w:rsid w:val="00E5297A"/>
    <w:pPr>
      <w:tabs>
        <w:tab w:val="center" w:pos="4153"/>
        <w:tab w:val="right" w:pos="8306"/>
      </w:tabs>
      <w:snapToGrid w:val="0"/>
      <w:jc w:val="center"/>
    </w:pPr>
    <w:rPr>
      <w:sz w:val="18"/>
      <w:szCs w:val="18"/>
    </w:rPr>
  </w:style>
  <w:style w:type="character" w:customStyle="1" w:styleId="af0">
    <w:name w:val="页眉 字符"/>
    <w:basedOn w:val="a0"/>
    <w:link w:val="af"/>
    <w:uiPriority w:val="99"/>
    <w:rsid w:val="00E5297A"/>
    <w:rPr>
      <w:rFonts w:ascii="Times New Roman" w:hAnsi="Times New Roman"/>
      <w:sz w:val="18"/>
      <w:szCs w:val="18"/>
    </w:rPr>
  </w:style>
  <w:style w:type="paragraph" w:styleId="af1">
    <w:name w:val="footer"/>
    <w:basedOn w:val="a"/>
    <w:link w:val="af2"/>
    <w:uiPriority w:val="99"/>
    <w:unhideWhenUsed/>
    <w:rsid w:val="00E5297A"/>
    <w:pPr>
      <w:tabs>
        <w:tab w:val="center" w:pos="4153"/>
        <w:tab w:val="right" w:pos="8306"/>
      </w:tabs>
      <w:snapToGrid w:val="0"/>
      <w:jc w:val="left"/>
    </w:pPr>
    <w:rPr>
      <w:sz w:val="18"/>
      <w:szCs w:val="18"/>
    </w:rPr>
  </w:style>
  <w:style w:type="character" w:customStyle="1" w:styleId="af2">
    <w:name w:val="页脚 字符"/>
    <w:basedOn w:val="a0"/>
    <w:link w:val="af1"/>
    <w:uiPriority w:val="99"/>
    <w:rsid w:val="00E5297A"/>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151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5041F4A-DD70-7B44-B8F2-55710BE72ADA}">
  <we:reference id="wa200001011" version="1.2.0.0" store="zh-CN" storeType="OMEX"/>
  <we:alternateReferences>
    <we:reference id="wa200001011" version="1.2.0.0" store="zh-CN"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5</Pages>
  <Words>555</Words>
  <Characters>2822</Characters>
  <Application>Microsoft Office Word</Application>
  <DocSecurity>0</DocSecurity>
  <Lines>68</Lines>
  <Paragraphs>33</Paragraphs>
  <ScaleCrop>false</ScaleCrop>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比亚 努尔</dc:creator>
  <cp:keywords/>
  <dc:description/>
  <cp:lastModifiedBy>比亚 努尔</cp:lastModifiedBy>
  <cp:revision>2</cp:revision>
  <dcterms:created xsi:type="dcterms:W3CDTF">2024-01-17T13:24:00Z</dcterms:created>
  <dcterms:modified xsi:type="dcterms:W3CDTF">2024-01-17T13:24:00Z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documentId_42</vt:lpwstr>
  </property>
  <property fmtid="{D5CDD505-2E9C-101B-9397-08002B2CF9AE}" pid="3" name="grammarly_documentContext">
    <vt:lpwstr>{"goals":[],"domain":"general","emotions":[],"dialect":"american"}</vt:lpwstr>
  </property>
</Properties>
</file>