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CB" w:rsidRPr="00740730" w:rsidRDefault="003121CB" w:rsidP="003121CB">
      <w:pPr>
        <w:rPr>
          <w:b/>
          <w:bCs/>
        </w:rPr>
      </w:pPr>
      <w:r w:rsidRPr="00740730">
        <w:rPr>
          <w:b/>
          <w:bCs/>
        </w:rPr>
        <w:t>APPENDIX</w:t>
      </w:r>
    </w:p>
    <w:p w:rsidR="003121CB" w:rsidRPr="00740730" w:rsidRDefault="003121CB" w:rsidP="003121CB">
      <w:pPr>
        <w:rPr>
          <w:i/>
          <w:iCs/>
        </w:rPr>
      </w:pPr>
      <w:r w:rsidRPr="00740730">
        <w:rPr>
          <w:i/>
          <w:iCs/>
        </w:rPr>
        <w:t xml:space="preserve">Items </w:t>
      </w:r>
      <w:r>
        <w:rPr>
          <w:i/>
          <w:iCs/>
        </w:rPr>
        <w:t xml:space="preserve">in the </w:t>
      </w:r>
      <w:r w:rsidRPr="00740730">
        <w:rPr>
          <w:i/>
          <w:iCs/>
        </w:rPr>
        <w:t>Port-A-Cath Application Knowledge Scale</w:t>
      </w:r>
      <w:r w:rsidRPr="00740730">
        <w:rPr>
          <w:rFonts w:hint="eastAsia"/>
          <w:i/>
          <w:iCs/>
        </w:rPr>
        <w:t xml:space="preserve"> </w:t>
      </w:r>
      <w:r w:rsidRPr="00740730">
        <w:rPr>
          <w:i/>
          <w:iCs/>
        </w:rPr>
        <w:t>(</w:t>
      </w:r>
      <w:r w:rsidRPr="00740730">
        <w:rPr>
          <w:rFonts w:hint="eastAsia"/>
          <w:i/>
          <w:iCs/>
        </w:rPr>
        <w:t>PACKS</w:t>
      </w:r>
      <w:r w:rsidRPr="00740730">
        <w:rPr>
          <w:i/>
          <w:iCs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0"/>
        <w:gridCol w:w="5865"/>
        <w:gridCol w:w="936"/>
        <w:gridCol w:w="873"/>
        <w:gridCol w:w="772"/>
      </w:tblGrid>
      <w:tr w:rsidR="003121CB" w:rsidRPr="00D42398" w:rsidTr="00F86EBF">
        <w:tc>
          <w:tcPr>
            <w:tcW w:w="9016" w:type="dxa"/>
            <w:gridSpan w:val="5"/>
          </w:tcPr>
          <w:p w:rsidR="003121CB" w:rsidRPr="00D42398" w:rsidRDefault="003121CB" w:rsidP="00F86EBF">
            <w:pPr>
              <w:rPr>
                <w:b/>
                <w:bCs/>
              </w:rPr>
            </w:pPr>
            <w:bookmarkStart w:id="0" w:name="_Hlk124022477"/>
            <w:r w:rsidRPr="00D42398">
              <w:rPr>
                <w:rFonts w:hint="eastAsia"/>
                <w:b/>
                <w:bCs/>
              </w:rPr>
              <w:t>A</w:t>
            </w:r>
            <w:r w:rsidRPr="00D42398">
              <w:rPr>
                <w:b/>
                <w:bCs/>
              </w:rPr>
              <w:t>pplication knowledge</w:t>
            </w:r>
          </w:p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br w:type="page"/>
            </w:r>
            <w:r>
              <w:rPr>
                <w:rFonts w:hint="eastAsia"/>
              </w:rPr>
              <w:t>No</w:t>
            </w:r>
            <w:r>
              <w:t>.</w:t>
            </w:r>
          </w:p>
        </w:tc>
        <w:tc>
          <w:tcPr>
            <w:tcW w:w="5873" w:type="dxa"/>
          </w:tcPr>
          <w:p w:rsidR="003121CB" w:rsidRDefault="003121CB" w:rsidP="00F86EBF">
            <w:r>
              <w:rPr>
                <w:rFonts w:hint="eastAsia"/>
              </w:rPr>
              <w:t>Q</w:t>
            </w:r>
            <w:r>
              <w:t>uestion</w:t>
            </w:r>
          </w:p>
        </w:tc>
        <w:tc>
          <w:tcPr>
            <w:tcW w:w="936" w:type="dxa"/>
          </w:tcPr>
          <w:p w:rsidR="003121CB" w:rsidRDefault="003121CB" w:rsidP="00F86EBF">
            <w:r>
              <w:rPr>
                <w:rFonts w:hint="eastAsia"/>
              </w:rPr>
              <w:t>C</w:t>
            </w:r>
            <w:r>
              <w:t>orrect</w:t>
            </w:r>
          </w:p>
        </w:tc>
        <w:tc>
          <w:tcPr>
            <w:tcW w:w="873" w:type="dxa"/>
          </w:tcPr>
          <w:p w:rsidR="003121CB" w:rsidRDefault="003121CB" w:rsidP="00F86EBF">
            <w:r>
              <w:rPr>
                <w:rFonts w:hint="eastAsia"/>
              </w:rPr>
              <w:t>W</w:t>
            </w:r>
            <w:r>
              <w:t>rong</w:t>
            </w:r>
          </w:p>
        </w:tc>
        <w:tc>
          <w:tcPr>
            <w:tcW w:w="772" w:type="dxa"/>
          </w:tcPr>
          <w:p w:rsidR="003121CB" w:rsidRPr="009143E7" w:rsidRDefault="003121CB" w:rsidP="00F86EBF">
            <w:r w:rsidRPr="009143E7">
              <w:t>Don't know</w:t>
            </w:r>
          </w:p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</w:p>
        </w:tc>
        <w:tc>
          <w:tcPr>
            <w:tcW w:w="5873" w:type="dxa"/>
          </w:tcPr>
          <w:p w:rsidR="003121CB" w:rsidRDefault="003121CB" w:rsidP="00F86EBF">
            <w:r w:rsidRPr="00934DC9">
              <w:t>The Port-A</w:t>
            </w:r>
            <w:r>
              <w:t xml:space="preserve">-Cath </w:t>
            </w:r>
            <w:r w:rsidRPr="00934DC9">
              <w:t>can be used to provide anesthesia-inducing drugs to surgical patients</w:t>
            </w:r>
            <w:r>
              <w:t>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2</w:t>
            </w:r>
          </w:p>
        </w:tc>
        <w:tc>
          <w:tcPr>
            <w:tcW w:w="5873" w:type="dxa"/>
          </w:tcPr>
          <w:p w:rsidR="003121CB" w:rsidRDefault="003121CB" w:rsidP="00F86EBF">
            <w:r w:rsidRPr="00425FC6">
              <w:t>Before a Port-A</w:t>
            </w:r>
            <w:r w:rsidRPr="00CB43D7">
              <w:t>-Cath</w:t>
            </w:r>
            <w:r w:rsidRPr="00425FC6">
              <w:t xml:space="preserve"> is used for blood extraction, the infusion should be stopped, and </w:t>
            </w:r>
            <w:r>
              <w:t xml:space="preserve">the </w:t>
            </w:r>
            <w:r w:rsidRPr="00425FC6">
              <w:t>Port-A</w:t>
            </w:r>
            <w:r w:rsidRPr="00CB43D7">
              <w:t>-Cath</w:t>
            </w:r>
            <w:r w:rsidRPr="00425FC6">
              <w:t xml:space="preserve"> should be flushed with 10ML of normal saline. </w:t>
            </w:r>
            <w:r>
              <w:t>A b</w:t>
            </w:r>
            <w:r w:rsidRPr="00425FC6">
              <w:t xml:space="preserve">lood draw from Port-A </w:t>
            </w:r>
            <w:r>
              <w:t xml:space="preserve">can </w:t>
            </w:r>
            <w:r w:rsidRPr="00425FC6">
              <w:t xml:space="preserve">then </w:t>
            </w:r>
            <w:r>
              <w:t xml:space="preserve">be </w:t>
            </w:r>
            <w:r w:rsidRPr="00425FC6">
              <w:t>performed.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3</w:t>
            </w:r>
          </w:p>
        </w:tc>
        <w:tc>
          <w:tcPr>
            <w:tcW w:w="5873" w:type="dxa"/>
          </w:tcPr>
          <w:p w:rsidR="003121CB" w:rsidRDefault="003121CB" w:rsidP="00F86EBF">
            <w:r w:rsidRPr="005153F7">
              <w:t>The first 5</w:t>
            </w:r>
            <w:r>
              <w:t>c</w:t>
            </w:r>
            <w:r w:rsidRPr="005153F7">
              <w:t>c of blood drawn from a Port-A</w:t>
            </w:r>
            <w:r w:rsidRPr="00CB43D7">
              <w:t>-Cath</w:t>
            </w:r>
            <w:r w:rsidRPr="005153F7">
              <w:t xml:space="preserve"> for a blood sample must be discarded.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4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 xml:space="preserve">Drawing blood from a Port-A-Cath will not increase the risk of infection when </w:t>
            </w:r>
            <w:r>
              <w:t xml:space="preserve">an </w:t>
            </w:r>
            <w:r w:rsidRPr="00CB43D7">
              <w:t>aseptic technique is observed.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5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>A Port-A-</w:t>
            </w:r>
            <w:r>
              <w:t>Cath</w:t>
            </w:r>
            <w:r w:rsidRPr="00CB43D7">
              <w:t xml:space="preserve"> can be used for chemotherapy.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6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>A Port-A-</w:t>
            </w:r>
            <w:r>
              <w:t>Cath</w:t>
            </w:r>
            <w:r w:rsidRPr="00CB43D7">
              <w:t xml:space="preserve"> can be used for nutritional intravenous infusions.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7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>A Port-A-</w:t>
            </w:r>
            <w:r>
              <w:t>Cath</w:t>
            </w:r>
            <w:r w:rsidRPr="00CB43D7">
              <w:t xml:space="preserve"> can be used for blood sampling.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8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>A Port-A-</w:t>
            </w:r>
            <w:r>
              <w:t>Cath</w:t>
            </w:r>
            <w:r w:rsidRPr="00CB43D7">
              <w:t xml:space="preserve"> can be used as a catheter for blood transfusions.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9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>A Port-A-</w:t>
            </w:r>
            <w:r>
              <w:t>Cath</w:t>
            </w:r>
            <w:r w:rsidRPr="00CB43D7">
              <w:t xml:space="preserve"> can be connected to a </w:t>
            </w:r>
            <w:r w:rsidRPr="00D87032">
              <w:t>3-way stopcock</w:t>
            </w:r>
            <w:r w:rsidRPr="00CB43D7">
              <w:t xml:space="preserve"> for </w:t>
            </w:r>
            <w:r>
              <w:t xml:space="preserve">the </w:t>
            </w:r>
            <w:r w:rsidRPr="00CB43D7">
              <w:t>simultaneous drip of chemotherapy drugs, antibiotics</w:t>
            </w:r>
            <w:r>
              <w:t xml:space="preserve"> and </w:t>
            </w:r>
            <w:r w:rsidRPr="00CB43D7">
              <w:t>general fluids.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>To reduce the chance of infection, all drugs, except chemotherapy drugs, should be administered from peripheral veins as much as possible when using a Port-A-</w:t>
            </w:r>
            <w:r>
              <w:t>Cath</w:t>
            </w:r>
            <w:r w:rsidRPr="00CB43D7">
              <w:t>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>Blood samples taken from a Port-A-</w:t>
            </w:r>
            <w:r>
              <w:t>Cath</w:t>
            </w:r>
            <w:r w:rsidRPr="00CB43D7">
              <w:t xml:space="preserve"> cannot be used for coagulation tests (PT/PTT).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>Blood samples taken from a Port-A-</w:t>
            </w:r>
            <w:r>
              <w:t>Cath</w:t>
            </w:r>
            <w:r w:rsidRPr="00CB43D7">
              <w:t xml:space="preserve"> cannot be used for testing drug concentrations.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>Dilantin and mannitol can be administered from a Port-A-</w:t>
            </w:r>
            <w:r>
              <w:t>Cath</w:t>
            </w:r>
            <w:r w:rsidRPr="00CB43D7">
              <w:t>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>Patients with a Port-A</w:t>
            </w:r>
            <w:r>
              <w:rPr>
                <w:rFonts w:hint="eastAsia"/>
              </w:rPr>
              <w:t>-Ca</w:t>
            </w:r>
            <w:r>
              <w:t>th</w:t>
            </w:r>
            <w:r w:rsidRPr="00CB43D7">
              <w:t xml:space="preserve"> should avoid repeated peripheral intravenous injections.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tr w:rsidR="003121CB" w:rsidTr="00F86EBF">
        <w:tc>
          <w:tcPr>
            <w:tcW w:w="562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5873" w:type="dxa"/>
          </w:tcPr>
          <w:p w:rsidR="003121CB" w:rsidRDefault="003121CB" w:rsidP="00F86EBF">
            <w:r w:rsidRPr="00CB43D7">
              <w:t>Contrast agents can be administered from a Power Port-A</w:t>
            </w:r>
            <w:r>
              <w:t>-Cath</w:t>
            </w:r>
            <w:r w:rsidRPr="00CB43D7">
              <w:t>, but not from a regular Port-A</w:t>
            </w:r>
            <w:r>
              <w:t>-Cath</w:t>
            </w:r>
            <w:r w:rsidRPr="00CB43D7">
              <w:t>.</w:t>
            </w:r>
          </w:p>
        </w:tc>
        <w:tc>
          <w:tcPr>
            <w:tcW w:w="936" w:type="dxa"/>
          </w:tcPr>
          <w:p w:rsidR="003121CB" w:rsidRDefault="003121CB" w:rsidP="00F86EBF"/>
        </w:tc>
        <w:tc>
          <w:tcPr>
            <w:tcW w:w="873" w:type="dxa"/>
          </w:tcPr>
          <w:p w:rsidR="003121CB" w:rsidRDefault="003121CB" w:rsidP="00F86EBF"/>
        </w:tc>
        <w:tc>
          <w:tcPr>
            <w:tcW w:w="772" w:type="dxa"/>
          </w:tcPr>
          <w:p w:rsidR="003121CB" w:rsidRDefault="003121CB" w:rsidP="00F86EBF"/>
        </w:tc>
      </w:tr>
      <w:bookmarkEnd w:id="0"/>
    </w:tbl>
    <w:p w:rsidR="003121CB" w:rsidRDefault="003121CB" w:rsidP="003121C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4"/>
        <w:gridCol w:w="5375"/>
        <w:gridCol w:w="1005"/>
        <w:gridCol w:w="1006"/>
        <w:gridCol w:w="1006"/>
      </w:tblGrid>
      <w:tr w:rsidR="003121CB" w:rsidTr="00F86EBF">
        <w:tc>
          <w:tcPr>
            <w:tcW w:w="9016" w:type="dxa"/>
            <w:gridSpan w:val="5"/>
          </w:tcPr>
          <w:p w:rsidR="003121CB" w:rsidRPr="00D42398" w:rsidRDefault="003121CB" w:rsidP="00F86EBF">
            <w:pPr>
              <w:rPr>
                <w:b/>
                <w:bCs/>
              </w:rPr>
            </w:pPr>
            <w:r w:rsidRPr="00D42398">
              <w:rPr>
                <w:b/>
                <w:bCs/>
              </w:rPr>
              <w:br w:type="page"/>
              <w:t>Care knowledge</w:t>
            </w:r>
          </w:p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No</w:t>
            </w:r>
            <w:r>
              <w:t>.</w:t>
            </w:r>
          </w:p>
        </w:tc>
        <w:tc>
          <w:tcPr>
            <w:tcW w:w="5375" w:type="dxa"/>
          </w:tcPr>
          <w:p w:rsidR="003121CB" w:rsidRDefault="003121CB" w:rsidP="00F86EBF">
            <w:r>
              <w:rPr>
                <w:rFonts w:hint="eastAsia"/>
              </w:rPr>
              <w:t>Q</w:t>
            </w:r>
            <w:r>
              <w:t>uestion</w:t>
            </w:r>
          </w:p>
        </w:tc>
        <w:tc>
          <w:tcPr>
            <w:tcW w:w="1005" w:type="dxa"/>
          </w:tcPr>
          <w:p w:rsidR="003121CB" w:rsidRPr="00E41AAE" w:rsidRDefault="003121CB" w:rsidP="00F86EBF">
            <w:r w:rsidRPr="00E41AAE">
              <w:t>Correct</w:t>
            </w:r>
          </w:p>
        </w:tc>
        <w:tc>
          <w:tcPr>
            <w:tcW w:w="1006" w:type="dxa"/>
          </w:tcPr>
          <w:p w:rsidR="003121CB" w:rsidRPr="00E41AAE" w:rsidRDefault="003121CB" w:rsidP="00F86EBF">
            <w:r w:rsidRPr="00E41AAE">
              <w:t>Wrong</w:t>
            </w:r>
          </w:p>
        </w:tc>
        <w:tc>
          <w:tcPr>
            <w:tcW w:w="1006" w:type="dxa"/>
          </w:tcPr>
          <w:p w:rsidR="003121CB" w:rsidRPr="00E41AAE" w:rsidRDefault="003121CB" w:rsidP="00F86EBF">
            <w:r w:rsidRPr="00E41AAE">
              <w:t>Don't know</w:t>
            </w:r>
          </w:p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</w:p>
        </w:tc>
        <w:tc>
          <w:tcPr>
            <w:tcW w:w="5375" w:type="dxa"/>
          </w:tcPr>
          <w:p w:rsidR="003121CB" w:rsidRDefault="003121CB" w:rsidP="00F86EBF">
            <w:r w:rsidRPr="00FA5B16">
              <w:t>If a Port-A</w:t>
            </w:r>
            <w:r>
              <w:t>-Cath</w:t>
            </w:r>
            <w:r w:rsidRPr="00FA5B16">
              <w:t xml:space="preserve"> is used for a transfusion, the needle should be changed after the drip is completed.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2</w:t>
            </w:r>
          </w:p>
        </w:tc>
        <w:tc>
          <w:tcPr>
            <w:tcW w:w="5375" w:type="dxa"/>
          </w:tcPr>
          <w:p w:rsidR="003121CB" w:rsidRDefault="003121CB" w:rsidP="00F86EBF">
            <w:r w:rsidRPr="009143E7">
              <w:t>If a drip of lipid-based agent (e.g., TPN) is administered via a Port-A</w:t>
            </w:r>
            <w:r>
              <w:t>-Cath</w:t>
            </w:r>
            <w:r w:rsidRPr="009143E7">
              <w:t>, the needle should be changed immediately</w:t>
            </w:r>
            <w:r>
              <w:t xml:space="preserve"> </w:t>
            </w:r>
            <w:r w:rsidRPr="009143E7">
              <w:t>after the drip is completed.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3</w:t>
            </w:r>
          </w:p>
        </w:tc>
        <w:tc>
          <w:tcPr>
            <w:tcW w:w="5375" w:type="dxa"/>
          </w:tcPr>
          <w:p w:rsidR="003121CB" w:rsidRDefault="003121CB" w:rsidP="00F86EBF">
            <w:r w:rsidRPr="009143E7">
              <w:t>An isolation gown is required for inserting a Port-A needle.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4</w:t>
            </w:r>
          </w:p>
        </w:tc>
        <w:tc>
          <w:tcPr>
            <w:tcW w:w="5375" w:type="dxa"/>
          </w:tcPr>
          <w:p w:rsidR="003121CB" w:rsidRDefault="003121CB" w:rsidP="00F86EBF">
            <w:r w:rsidRPr="009143E7">
              <w:t>A Port-A</w:t>
            </w:r>
            <w:r>
              <w:t>-Cath</w:t>
            </w:r>
            <w:r w:rsidRPr="009143E7">
              <w:t xml:space="preserve"> should be sterilized from the outside to the inside by 3-5 cm when a Port-A needle is inserted.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5</w:t>
            </w:r>
            <w:r>
              <w:t>a</w:t>
            </w:r>
          </w:p>
        </w:tc>
        <w:tc>
          <w:tcPr>
            <w:tcW w:w="5375" w:type="dxa"/>
          </w:tcPr>
          <w:p w:rsidR="003121CB" w:rsidRDefault="003121CB" w:rsidP="00F86EBF">
            <w:r w:rsidRPr="009143E7">
              <w:t xml:space="preserve">After inserting a Port-A needle, blood should be drawn back to test </w:t>
            </w:r>
            <w:r>
              <w:t xml:space="preserve">whether </w:t>
            </w:r>
            <w:r w:rsidRPr="009143E7">
              <w:t>the Port-A-Cat</w:t>
            </w:r>
            <w:r>
              <w:t>h</w:t>
            </w:r>
            <w:r w:rsidRPr="009143E7">
              <w:t xml:space="preserve"> ha</w:t>
            </w:r>
            <w:r>
              <w:t>s</w:t>
            </w:r>
            <w:r w:rsidRPr="009143E7">
              <w:t xml:space="preserve"> blood return.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6</w:t>
            </w:r>
          </w:p>
        </w:tc>
        <w:tc>
          <w:tcPr>
            <w:tcW w:w="5375" w:type="dxa"/>
          </w:tcPr>
          <w:p w:rsidR="003121CB" w:rsidRDefault="003121CB" w:rsidP="00F86EBF">
            <w:r w:rsidRPr="00FC1A3F">
              <w:t>After removing a Port-A needle, the patient should lie flat and apply pressure to the site for 5-10 minutes to ensure there is no more bleeding. Then, the site should be covered with gauze and a paper adhesive.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7</w:t>
            </w:r>
          </w:p>
        </w:tc>
        <w:tc>
          <w:tcPr>
            <w:tcW w:w="5375" w:type="dxa"/>
          </w:tcPr>
          <w:p w:rsidR="003121CB" w:rsidRDefault="003121CB" w:rsidP="00F86EBF">
            <w:r w:rsidRPr="00FC1A3F">
              <w:t xml:space="preserve">If the needle is fixed with the </w:t>
            </w:r>
            <w:r>
              <w:t>transparent cover (e.g., Tegaderm™ film)</w:t>
            </w:r>
            <w:r w:rsidRPr="00FC1A3F">
              <w:t>, it should be changed once every 7 days if there is no leakage.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8</w:t>
            </w:r>
          </w:p>
        </w:tc>
        <w:tc>
          <w:tcPr>
            <w:tcW w:w="5375" w:type="dxa"/>
          </w:tcPr>
          <w:p w:rsidR="003121CB" w:rsidRDefault="003121CB" w:rsidP="00F86EBF">
            <w:r w:rsidRPr="00FC1A3F">
              <w:t xml:space="preserve">Under normal circumstances, </w:t>
            </w:r>
            <w:bookmarkStart w:id="1" w:name="_Hlk125621836"/>
            <w:r w:rsidRPr="00FC1A3F">
              <w:t xml:space="preserve">the </w:t>
            </w:r>
            <w:r>
              <w:t xml:space="preserve">Port-A </w:t>
            </w:r>
            <w:r w:rsidRPr="00FC1A3F">
              <w:t>needle</w:t>
            </w:r>
            <w:bookmarkEnd w:id="1"/>
            <w:r w:rsidRPr="00FC1A3F">
              <w:t xml:space="preserve"> should be changed every 7 days</w:t>
            </w:r>
            <w:r>
              <w:t>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9</w:t>
            </w:r>
          </w:p>
        </w:tc>
        <w:tc>
          <w:tcPr>
            <w:tcW w:w="5375" w:type="dxa"/>
          </w:tcPr>
          <w:p w:rsidR="003121CB" w:rsidRDefault="003121CB" w:rsidP="00F86EBF">
            <w:r w:rsidRPr="00FC1A3F">
              <w:t xml:space="preserve">The dressing covered with sterile gauze and paper adhesive of the needle </w:t>
            </w:r>
            <w:r>
              <w:t xml:space="preserve">should </w:t>
            </w:r>
            <w:r w:rsidRPr="00FC1A3F">
              <w:t>be disinfected every two days</w:t>
            </w:r>
            <w:r>
              <w:t>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75" w:type="dxa"/>
          </w:tcPr>
          <w:p w:rsidR="003121CB" w:rsidRDefault="003121CB" w:rsidP="00F86EBF">
            <w:r w:rsidRPr="00FC1A3F">
              <w:t>If the needle is left in place and no medication is injected, the catheter should be flushed with diluted heparin once daily</w:t>
            </w:r>
            <w:r>
              <w:t>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5375" w:type="dxa"/>
          </w:tcPr>
          <w:p w:rsidR="003121CB" w:rsidRDefault="003121CB" w:rsidP="00F86EBF">
            <w:r w:rsidRPr="00FC1A3F">
              <w:t>The Port-A flushing solution is pushed in the same way as a normal flushing line but at a slower rate.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5375" w:type="dxa"/>
          </w:tcPr>
          <w:p w:rsidR="003121CB" w:rsidRDefault="003121CB" w:rsidP="00F86EBF">
            <w:r w:rsidRPr="00FC1A3F">
              <w:t>Infection risk can be reduced by using antibacterial ointment at the Port-A needle insertion site.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5375" w:type="dxa"/>
          </w:tcPr>
          <w:p w:rsidR="003121CB" w:rsidRDefault="003121CB" w:rsidP="00F86EBF">
            <w:r w:rsidRPr="00FC1A3F">
              <w:t xml:space="preserve">When 2% </w:t>
            </w:r>
            <w:r>
              <w:t>c</w:t>
            </w:r>
            <w:r w:rsidRPr="00FC1A3F">
              <w:t xml:space="preserve">hlorhexidine is used as the disinfectant solution for a Port-A needle injection, the </w:t>
            </w:r>
            <w:r w:rsidRPr="00FC1A3F">
              <w:lastRenderedPageBreak/>
              <w:t xml:space="preserve">disinfection method is </w:t>
            </w:r>
            <w:r>
              <w:t>from the center to the outer ring around the Port-A in a</w:t>
            </w:r>
            <w:r>
              <w:rPr>
                <w:rFonts w:hint="eastAsia"/>
              </w:rPr>
              <w:t xml:space="preserve"> </w:t>
            </w:r>
            <w:r>
              <w:t>circular motion</w:t>
            </w:r>
            <w:r w:rsidRPr="00FC1A3F">
              <w:t>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lastRenderedPageBreak/>
              <w:t>1</w:t>
            </w:r>
            <w:r>
              <w:t>4</w:t>
            </w:r>
          </w:p>
        </w:tc>
        <w:tc>
          <w:tcPr>
            <w:tcW w:w="5375" w:type="dxa"/>
          </w:tcPr>
          <w:p w:rsidR="003121CB" w:rsidRDefault="003121CB" w:rsidP="00F86EBF">
            <w:r w:rsidRPr="00FF1645">
              <w:t>Betadine or normal saline can be used for Port-A</w:t>
            </w:r>
            <w:r>
              <w:rPr>
                <w:rFonts w:hint="eastAsia"/>
              </w:rPr>
              <w:t>-C</w:t>
            </w:r>
            <w:r>
              <w:t xml:space="preserve">ath </w:t>
            </w:r>
            <w:r w:rsidRPr="00FF1645">
              <w:t>disinfect</w:t>
            </w:r>
            <w:r>
              <w:t xml:space="preserve">ion solutions before </w:t>
            </w:r>
            <w:r w:rsidRPr="00FF1645">
              <w:t>injections</w:t>
            </w:r>
            <w:r>
              <w:t>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  <w:tr w:rsidR="003121CB" w:rsidTr="00F86EBF">
        <w:tc>
          <w:tcPr>
            <w:tcW w:w="624" w:type="dxa"/>
          </w:tcPr>
          <w:p w:rsidR="003121CB" w:rsidRDefault="003121CB" w:rsidP="00F86EBF"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5375" w:type="dxa"/>
          </w:tcPr>
          <w:p w:rsidR="003121CB" w:rsidRDefault="003121CB" w:rsidP="00F86EBF">
            <w:r w:rsidRPr="00FF1645">
              <w:t>If a patient</w:t>
            </w:r>
            <w:r>
              <w:rPr>
                <w:rFonts w:hint="eastAsia"/>
              </w:rPr>
              <w:t xml:space="preserve"> </w:t>
            </w:r>
            <w:r>
              <w:t xml:space="preserve">has a </w:t>
            </w:r>
            <w:r w:rsidRPr="00FF1645">
              <w:t>Port-A</w:t>
            </w:r>
            <w:r>
              <w:t>-Cath</w:t>
            </w:r>
            <w:r w:rsidRPr="00FF1645">
              <w:t xml:space="preserve"> </w:t>
            </w:r>
            <w:r>
              <w:t>placed but</w:t>
            </w:r>
            <w:r w:rsidRPr="00FF1645">
              <w:t xml:space="preserve"> </w:t>
            </w:r>
            <w:r>
              <w:t xml:space="preserve">it is </w:t>
            </w:r>
            <w:r w:rsidRPr="00FF1645">
              <w:t>not us</w:t>
            </w:r>
            <w:r>
              <w:t>ed</w:t>
            </w:r>
            <w:r w:rsidRPr="00FF1645">
              <w:t xml:space="preserve">, it is still necessary </w:t>
            </w:r>
            <w:r>
              <w:t xml:space="preserve">for them </w:t>
            </w:r>
            <w:r w:rsidRPr="00FF1645">
              <w:t>to return to the hospital to flush the Port-A</w:t>
            </w:r>
            <w:r>
              <w:t>-Cath</w:t>
            </w:r>
            <w:r w:rsidRPr="00FF1645">
              <w:t xml:space="preserve"> regularly for at least 4 weeks.</w:t>
            </w:r>
          </w:p>
        </w:tc>
        <w:tc>
          <w:tcPr>
            <w:tcW w:w="1005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  <w:tc>
          <w:tcPr>
            <w:tcW w:w="1006" w:type="dxa"/>
          </w:tcPr>
          <w:p w:rsidR="003121CB" w:rsidRDefault="003121CB" w:rsidP="00F86EBF"/>
        </w:tc>
      </w:tr>
    </w:tbl>
    <w:p w:rsidR="003121CB" w:rsidRPr="00071DFB" w:rsidRDefault="003121CB" w:rsidP="003121CB">
      <w:r>
        <w:t>a: Item 5 has been deleted</w:t>
      </w:r>
      <w:r w:rsidRPr="009143E7">
        <w:t xml:space="preserve"> because of misfit in </w:t>
      </w:r>
      <w:r>
        <w:t xml:space="preserve">the </w:t>
      </w:r>
      <w:r w:rsidRPr="009143E7">
        <w:t>outfit MnSq (2.34)</w:t>
      </w:r>
      <w:r>
        <w:t>.</w:t>
      </w:r>
    </w:p>
    <w:p w:rsidR="003121CB" w:rsidRPr="002707AD" w:rsidRDefault="003121CB" w:rsidP="003121CB"/>
    <w:p w:rsidR="003121CB" w:rsidRPr="00912236" w:rsidRDefault="003121CB" w:rsidP="003121CB">
      <w:pPr>
        <w:widowControl/>
      </w:pPr>
    </w:p>
    <w:p w:rsidR="00B32322" w:rsidRPr="003121CB" w:rsidRDefault="004007D3">
      <w:bookmarkStart w:id="2" w:name="_GoBack"/>
      <w:bookmarkEnd w:id="2"/>
    </w:p>
    <w:sectPr w:rsidR="00B32322" w:rsidRPr="003121CB" w:rsidSect="00623F39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7D3" w:rsidRDefault="004007D3" w:rsidP="003121CB">
      <w:r>
        <w:separator/>
      </w:r>
    </w:p>
  </w:endnote>
  <w:endnote w:type="continuationSeparator" w:id="0">
    <w:p w:rsidR="004007D3" w:rsidRDefault="004007D3" w:rsidP="0031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7D3" w:rsidRDefault="004007D3" w:rsidP="003121CB">
      <w:r>
        <w:separator/>
      </w:r>
    </w:p>
  </w:footnote>
  <w:footnote w:type="continuationSeparator" w:id="0">
    <w:p w:rsidR="004007D3" w:rsidRDefault="004007D3" w:rsidP="00312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F44"/>
    <w:rsid w:val="003121CB"/>
    <w:rsid w:val="004007D3"/>
    <w:rsid w:val="00504C29"/>
    <w:rsid w:val="008C47FA"/>
    <w:rsid w:val="009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71B558-EFBE-4CA3-9454-85EFF7F7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1CB"/>
    <w:pPr>
      <w:widowControl w:val="0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1C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21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21C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21CB"/>
    <w:rPr>
      <w:sz w:val="20"/>
      <w:szCs w:val="20"/>
    </w:rPr>
  </w:style>
  <w:style w:type="table" w:styleId="a7">
    <w:name w:val="Table Grid"/>
    <w:basedOn w:val="a1"/>
    <w:uiPriority w:val="39"/>
    <w:rsid w:val="003121CB"/>
    <w:rPr>
      <w:rFonts w:ascii="Times New Roman" w:eastAsia="標楷體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2023-03-09T04:38:00Z</dcterms:created>
  <dcterms:modified xsi:type="dcterms:W3CDTF">2023-03-09T04:38:00Z</dcterms:modified>
</cp:coreProperties>
</file>