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DEE65" w14:textId="77777777" w:rsidR="00900079" w:rsidRPr="000A42F6" w:rsidRDefault="00900079" w:rsidP="00900079">
      <w:pPr>
        <w:spacing w:line="240" w:lineRule="auto"/>
        <w:rPr>
          <w:rFonts w:ascii="Times New Roman" w:eastAsia="Times New Roman" w:hAnsi="Times New Roman"/>
        </w:rPr>
      </w:pPr>
      <w:bookmarkStart w:id="0" w:name="_Hlk142467696"/>
      <w:bookmarkStart w:id="1" w:name="_Hlk141863553"/>
      <w:r w:rsidRPr="000A42F6">
        <w:rPr>
          <w:rFonts w:ascii="Times New Roman" w:eastAsia="Times New Roman" w:hAnsi="Times New Roman"/>
          <w:b/>
          <w:bCs/>
        </w:rPr>
        <w:t>Table 1. Collar Design &amp; Data Collection</w:t>
      </w:r>
      <w:bookmarkEnd w:id="1"/>
      <w:r w:rsidRPr="000A42F6">
        <w:rPr>
          <w:rFonts w:ascii="Times New Roman" w:eastAsia="Times New Roman" w:hAnsi="Times New Roman"/>
          <w:b/>
          <w:bCs/>
        </w:rPr>
        <w:t>.</w:t>
      </w:r>
      <w:r w:rsidRPr="000A42F6">
        <w:rPr>
          <w:rFonts w:ascii="Times New Roman" w:eastAsia="Times New Roman" w:hAnsi="Times New Roman"/>
        </w:rPr>
        <w:t xml:space="preserve"> Overview of collar design, biologger position and orientation, and data type collected (i.e., </w:t>
      </w:r>
      <w:r>
        <w:rPr>
          <w:rFonts w:ascii="Times New Roman" w:eastAsia="Times New Roman" w:hAnsi="Times New Roman"/>
        </w:rPr>
        <w:t>behavioral</w:t>
      </w:r>
      <w:r w:rsidRPr="000A42F6">
        <w:rPr>
          <w:rFonts w:ascii="Times New Roman" w:eastAsia="Times New Roman" w:hAnsi="Times New Roman"/>
        </w:rPr>
        <w:t xml:space="preserve"> classifier training, testing, magnetic heading</w:t>
      </w:r>
      <w:r>
        <w:rPr>
          <w:rFonts w:ascii="Times New Roman" w:eastAsia="Times New Roman" w:hAnsi="Times New Roman"/>
        </w:rPr>
        <w:t xml:space="preserve"> evaluation</w:t>
      </w:r>
      <w:r w:rsidRPr="000A42F6">
        <w:rPr>
          <w:rFonts w:ascii="Times New Roman" w:eastAsia="Times New Roman" w:hAnsi="Times New Roman"/>
        </w:rPr>
        <w:t xml:space="preserve">), per individual. </w:t>
      </w:r>
      <w:r>
        <w:rPr>
          <w:rFonts w:ascii="Times New Roman" w:eastAsia="Times New Roman" w:hAnsi="Times New Roman"/>
        </w:rPr>
        <w:t xml:space="preserve">Numbers and letters listed for Tag Position and Orientation are arbitrary and indicate similarities and differences between collar designs. </w:t>
      </w:r>
      <w:r w:rsidRPr="000A42F6">
        <w:rPr>
          <w:rFonts w:ascii="Times New Roman" w:eastAsia="Times New Roman" w:hAnsi="Times New Roman"/>
        </w:rPr>
        <w:t xml:space="preserve">STC: single-tag collar, IMSC: integrated multi-tag collar. </w:t>
      </w:r>
    </w:p>
    <w:p w14:paraId="63EF9525" w14:textId="77777777" w:rsidR="00900079" w:rsidRPr="000A42F6" w:rsidRDefault="00900079" w:rsidP="00900079">
      <w:pPr>
        <w:spacing w:line="240" w:lineRule="auto"/>
        <w:contextualSpacing/>
        <w:rPr>
          <w:rFonts w:ascii="Times New Roman" w:eastAsia="Times New Roman" w:hAnsi="Times New Roman"/>
        </w:rPr>
      </w:pPr>
      <w:r w:rsidRPr="000A42F6">
        <w:rPr>
          <w:rFonts w:ascii="Times New Roman" w:hAnsi="Times New Roman"/>
          <w:noProof/>
        </w:rPr>
        <w:drawing>
          <wp:inline distT="0" distB="0" distL="0" distR="0" wp14:anchorId="3E23927C" wp14:editId="75B7707E">
            <wp:extent cx="3651885" cy="1172210"/>
            <wp:effectExtent l="0" t="0" r="5715" b="8890"/>
            <wp:docPr id="11747639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885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9A167" w14:textId="77777777" w:rsidR="00900079" w:rsidRPr="000A42F6" w:rsidRDefault="00900079" w:rsidP="00900079">
      <w:pPr>
        <w:spacing w:line="240" w:lineRule="auto"/>
        <w:contextualSpacing/>
        <w:rPr>
          <w:rFonts w:ascii="Times New Roman" w:eastAsia="Times New Roman" w:hAnsi="Times New Roman"/>
          <w:highlight w:val="cyan"/>
        </w:rPr>
      </w:pPr>
    </w:p>
    <w:p w14:paraId="32F1DB03" w14:textId="77777777" w:rsidR="00900079" w:rsidRDefault="00900079" w:rsidP="00900079">
      <w:pPr>
        <w:spacing w:line="240" w:lineRule="auto"/>
        <w:contextualSpacing/>
        <w:rPr>
          <w:rFonts w:ascii="Times New Roman" w:eastAsia="Times New Roman" w:hAnsi="Times New Roman"/>
        </w:rPr>
      </w:pPr>
      <w:r w:rsidRPr="000A42F6">
        <w:rPr>
          <w:rFonts w:ascii="Times New Roman" w:eastAsia="Times New Roman" w:hAnsi="Times New Roman"/>
          <w:b/>
          <w:bCs/>
        </w:rPr>
        <w:t>Table 2.</w:t>
      </w:r>
      <w:r w:rsidRPr="000A42F6">
        <w:rPr>
          <w:rFonts w:ascii="Times New Roman" w:eastAsia="Times New Roman" w:hAnsi="Times New Roman"/>
        </w:rPr>
        <w:t xml:space="preserve"> </w:t>
      </w:r>
      <w:r w:rsidRPr="000A42F6">
        <w:rPr>
          <w:rFonts w:ascii="Times New Roman" w:eastAsia="Times New Roman" w:hAnsi="Times New Roman"/>
          <w:b/>
          <w:bCs/>
        </w:rPr>
        <w:t xml:space="preserve">Summary of </w:t>
      </w:r>
      <w:r>
        <w:rPr>
          <w:rFonts w:ascii="Times New Roman" w:eastAsia="Times New Roman" w:hAnsi="Times New Roman"/>
          <w:b/>
          <w:bCs/>
        </w:rPr>
        <w:t>behavioral</w:t>
      </w:r>
      <w:r w:rsidRPr="000A42F6">
        <w:rPr>
          <w:rFonts w:ascii="Times New Roman" w:eastAsia="Times New Roman" w:hAnsi="Times New Roman"/>
          <w:b/>
          <w:bCs/>
        </w:rPr>
        <w:t xml:space="preserve"> data used for classifier training.</w:t>
      </w:r>
      <w:r w:rsidRPr="000A42F6">
        <w:rPr>
          <w:rFonts w:ascii="Times New Roman" w:eastAsia="Times New Roman" w:hAnsi="Times New Roman"/>
        </w:rPr>
        <w:t xml:space="preserve"> For each </w:t>
      </w:r>
      <w:r>
        <w:rPr>
          <w:rFonts w:ascii="Times New Roman" w:eastAsia="Times New Roman" w:hAnsi="Times New Roman"/>
        </w:rPr>
        <w:t>behavioral</w:t>
      </w:r>
      <w:r w:rsidRPr="000A42F6">
        <w:rPr>
          <w:rFonts w:ascii="Times New Roman" w:eastAsia="Times New Roman" w:hAnsi="Times New Roman"/>
        </w:rPr>
        <w:t xml:space="preserve"> class, the total duration (seconds) and total observations (i.e., 4-sec training windows) are shown, as well as the class proportion (%). A total of 14.96 hours of training data was used for classifier development and proportions reflect those of the test set.</w:t>
      </w:r>
      <w:r w:rsidRPr="000A42F6">
        <w:rPr>
          <w:rFonts w:ascii="Times New Roman" w:eastAsia="Times New Roman" w:hAnsi="Times New Roman"/>
          <w:bCs/>
        </w:rPr>
        <w:t xml:space="preserve"> The expanded suite of ‘higher resolution’ </w:t>
      </w:r>
      <w:r>
        <w:rPr>
          <w:rFonts w:ascii="Times New Roman" w:eastAsia="Times New Roman" w:hAnsi="Times New Roman"/>
          <w:bCs/>
        </w:rPr>
        <w:t>behavioral</w:t>
      </w:r>
      <w:r w:rsidRPr="000A42F6">
        <w:rPr>
          <w:rFonts w:ascii="Times New Roman" w:eastAsia="Times New Roman" w:hAnsi="Times New Roman"/>
          <w:bCs/>
        </w:rPr>
        <w:t xml:space="preserve"> classes are </w:t>
      </w:r>
      <w:r>
        <w:rPr>
          <w:rFonts w:ascii="Times New Roman" w:eastAsia="Times New Roman" w:hAnsi="Times New Roman"/>
          <w:bCs/>
        </w:rPr>
        <w:t>shaded grey</w:t>
      </w:r>
      <w:r w:rsidRPr="000A42F6">
        <w:rPr>
          <w:rFonts w:ascii="Times New Roman" w:eastAsia="Times New Roman" w:hAnsi="Times New Roman"/>
          <w:bCs/>
        </w:rPr>
        <w:t xml:space="preserve"> and corresponding data is nested within the respective parent class</w:t>
      </w:r>
      <w:r>
        <w:rPr>
          <w:rFonts w:ascii="Times New Roman" w:eastAsia="Times New Roman" w:hAnsi="Times New Roman"/>
          <w:bCs/>
        </w:rPr>
        <w:t xml:space="preserve"> (i.e., 669 of the ‘Forage’ observations were sub-classified as ‘Root’, representing 5% of all training observations)</w:t>
      </w:r>
      <w:r w:rsidRPr="000A42F6">
        <w:rPr>
          <w:rFonts w:ascii="Times New Roman" w:eastAsia="Times New Roman" w:hAnsi="Times New Roman"/>
          <w:bCs/>
        </w:rPr>
        <w:t xml:space="preserve">.  </w:t>
      </w:r>
      <w:r w:rsidRPr="000A42F6">
        <w:rPr>
          <w:rFonts w:ascii="Times New Roman" w:eastAsia="Times New Roman" w:hAnsi="Times New Roman"/>
        </w:rPr>
        <w:t xml:space="preserve">  </w:t>
      </w:r>
    </w:p>
    <w:p w14:paraId="036BDFD4" w14:textId="77777777" w:rsidR="00900079" w:rsidRPr="000A42F6" w:rsidRDefault="00900079" w:rsidP="00900079">
      <w:pPr>
        <w:spacing w:line="240" w:lineRule="auto"/>
        <w:contextualSpacing/>
        <w:rPr>
          <w:rFonts w:ascii="Times New Roman" w:eastAsia="Times New Roman" w:hAnsi="Times New Roman"/>
        </w:rPr>
      </w:pPr>
    </w:p>
    <w:tbl>
      <w:tblPr>
        <w:tblW w:w="5460" w:type="dxa"/>
        <w:tblLook w:val="04A0" w:firstRow="1" w:lastRow="0" w:firstColumn="1" w:lastColumn="0" w:noHBand="0" w:noVBand="1"/>
      </w:tblPr>
      <w:tblGrid>
        <w:gridCol w:w="1520"/>
        <w:gridCol w:w="1480"/>
        <w:gridCol w:w="1500"/>
        <w:gridCol w:w="960"/>
      </w:tblGrid>
      <w:tr w:rsidR="00900079" w:rsidRPr="000A42F6" w14:paraId="49C2730E" w14:textId="77777777" w:rsidTr="00AC32BE">
        <w:trPr>
          <w:trHeight w:val="330"/>
        </w:trPr>
        <w:tc>
          <w:tcPr>
            <w:tcW w:w="546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14:paraId="5C768468" w14:textId="77777777" w:rsidR="00900079" w:rsidRPr="000A42F6" w:rsidRDefault="00900079" w:rsidP="00AC32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 xml:space="preserve">Classifier Training: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Behavioral</w:t>
            </w: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 xml:space="preserve"> Class Summary </w:t>
            </w:r>
          </w:p>
        </w:tc>
      </w:tr>
      <w:tr w:rsidR="00900079" w:rsidRPr="000A42F6" w14:paraId="3EDC89AC" w14:textId="77777777" w:rsidTr="00AC32BE">
        <w:trPr>
          <w:trHeight w:val="6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C4C1CB" w14:textId="77777777" w:rsidR="00900079" w:rsidRPr="000A42F6" w:rsidRDefault="00900079" w:rsidP="00AC32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Behavioral</w:t>
            </w: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 xml:space="preserve"> Class 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4B5D30" w14:textId="77777777" w:rsidR="00900079" w:rsidRPr="000A42F6" w:rsidRDefault="00900079" w:rsidP="00AC32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Total Duration (s)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2EF79" w14:textId="77777777" w:rsidR="00900079" w:rsidRPr="000A42F6" w:rsidRDefault="00900079" w:rsidP="00AC32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Total Observations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E9EAAC" w14:textId="77777777" w:rsidR="00900079" w:rsidRPr="000A42F6" w:rsidRDefault="00900079" w:rsidP="00AC32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%</w:t>
            </w:r>
          </w:p>
        </w:tc>
      </w:tr>
      <w:tr w:rsidR="00900079" w:rsidRPr="000A42F6" w14:paraId="72D1339F" w14:textId="77777777" w:rsidTr="00AC32BE">
        <w:trPr>
          <w:trHeight w:val="3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A6660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Rest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56310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25380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32C8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6345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BFBFBF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EF710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47.1</w:t>
            </w:r>
          </w:p>
        </w:tc>
      </w:tr>
      <w:tr w:rsidR="00900079" w:rsidRPr="000A42F6" w14:paraId="726E6C6E" w14:textId="77777777" w:rsidTr="00AC32BE">
        <w:trPr>
          <w:trHeight w:val="3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B65F9C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Forage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7EBF7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10404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3D8E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2601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BFBFBF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24D0E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19.3</w:t>
            </w:r>
          </w:p>
        </w:tc>
      </w:tr>
      <w:tr w:rsidR="00900079" w:rsidRPr="000A42F6" w14:paraId="2C2ED192" w14:textId="77777777" w:rsidTr="00AC32BE">
        <w:trPr>
          <w:trHeight w:val="3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1429B65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/>
              </w:rPr>
              <w:t xml:space="preserve">      Root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35026AA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(2676)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4E831B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(669)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BFBFBF"/>
              <w:right w:val="single" w:sz="12" w:space="0" w:color="auto"/>
            </w:tcBorders>
            <w:shd w:val="clear" w:color="000000" w:fill="F2F2F2"/>
            <w:noWrap/>
            <w:vAlign w:val="bottom"/>
            <w:hideMark/>
          </w:tcPr>
          <w:p w14:paraId="0AC7C07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(5.0)</w:t>
            </w:r>
          </w:p>
        </w:tc>
      </w:tr>
      <w:tr w:rsidR="00900079" w:rsidRPr="000A42F6" w14:paraId="3369A355" w14:textId="77777777" w:rsidTr="00AC32BE">
        <w:trPr>
          <w:trHeight w:val="3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AA70E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Walk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5795D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5780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1BECBD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1445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BFBFBF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55D8C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10.7</w:t>
            </w:r>
          </w:p>
        </w:tc>
      </w:tr>
      <w:tr w:rsidR="00900079" w:rsidRPr="000A42F6" w14:paraId="5025F03D" w14:textId="77777777" w:rsidTr="00AC32BE">
        <w:trPr>
          <w:trHeight w:val="3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ABBC55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Stand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4FB8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6672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11F3DB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1668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BFBFBF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C510E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12.4</w:t>
            </w:r>
          </w:p>
        </w:tc>
      </w:tr>
      <w:tr w:rsidR="00900079" w:rsidRPr="000A42F6" w14:paraId="62C998F5" w14:textId="77777777" w:rsidTr="00AC32BE">
        <w:trPr>
          <w:trHeight w:val="3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5A7E4633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/>
              </w:rPr>
              <w:t xml:space="preserve">      Vigilance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3957FDE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(472)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FB4458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(118)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BFBFBF"/>
              <w:right w:val="single" w:sz="12" w:space="0" w:color="auto"/>
            </w:tcBorders>
            <w:shd w:val="clear" w:color="000000" w:fill="F2F2F2"/>
            <w:noWrap/>
            <w:vAlign w:val="bottom"/>
            <w:hideMark/>
          </w:tcPr>
          <w:p w14:paraId="41DD531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(0.9)</w:t>
            </w:r>
          </w:p>
        </w:tc>
      </w:tr>
      <w:tr w:rsidR="00900079" w:rsidRPr="000A42F6" w14:paraId="380A7508" w14:textId="77777777" w:rsidTr="00AC32BE">
        <w:trPr>
          <w:trHeight w:val="3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DD5A7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Run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FA620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4168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F71D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BFBFBF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0F5A5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7.7</w:t>
            </w:r>
          </w:p>
        </w:tc>
      </w:tr>
      <w:tr w:rsidR="00900079" w:rsidRPr="000A42F6" w14:paraId="3572E85D" w14:textId="77777777" w:rsidTr="00AC32BE">
        <w:trPr>
          <w:trHeight w:val="300"/>
        </w:trPr>
        <w:tc>
          <w:tcPr>
            <w:tcW w:w="1520" w:type="dxa"/>
            <w:tcBorders>
              <w:top w:val="nil"/>
              <w:left w:val="single" w:sz="12" w:space="0" w:color="auto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438862E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/>
              </w:rPr>
              <w:t xml:space="preserve">      Trot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0780572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(2556)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19B13E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(639)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BFBFBF"/>
              <w:right w:val="single" w:sz="12" w:space="0" w:color="auto"/>
            </w:tcBorders>
            <w:shd w:val="clear" w:color="000000" w:fill="F2F2F2"/>
            <w:noWrap/>
            <w:vAlign w:val="bottom"/>
            <w:hideMark/>
          </w:tcPr>
          <w:p w14:paraId="155693DB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i/>
                <w:iCs/>
                <w:color w:val="000000"/>
                <w:lang w:val="en-US"/>
              </w:rPr>
              <w:t>(4.8)</w:t>
            </w:r>
          </w:p>
        </w:tc>
      </w:tr>
      <w:tr w:rsidR="00900079" w:rsidRPr="000A42F6" w14:paraId="19A24713" w14:textId="77777777" w:rsidTr="00AC32BE">
        <w:trPr>
          <w:trHeight w:val="315"/>
        </w:trPr>
        <w:tc>
          <w:tcPr>
            <w:tcW w:w="1520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490D48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 xml:space="preserve">Other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8F404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1440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285D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F567F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2.7</w:t>
            </w:r>
          </w:p>
        </w:tc>
      </w:tr>
      <w:tr w:rsidR="00900079" w:rsidRPr="000A42F6" w14:paraId="04DC5E31" w14:textId="77777777" w:rsidTr="00AC32BE">
        <w:trPr>
          <w:trHeight w:val="315"/>
        </w:trPr>
        <w:tc>
          <w:tcPr>
            <w:tcW w:w="152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8D5D4D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 xml:space="preserve">Total 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410BB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53844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6A726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13461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B3840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lang w:val="en-US"/>
              </w:rPr>
              <w:t>100.0</w:t>
            </w:r>
          </w:p>
        </w:tc>
      </w:tr>
    </w:tbl>
    <w:p w14:paraId="15163999" w14:textId="77777777" w:rsidR="00900079" w:rsidRDefault="00900079" w:rsidP="00900079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14:paraId="10AC541D" w14:textId="77777777" w:rsidR="00900079" w:rsidRDefault="00900079" w:rsidP="00900079">
      <w:pPr>
        <w:spacing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</w:p>
    <w:p w14:paraId="3911A6EF" w14:textId="77777777" w:rsidR="00900079" w:rsidRDefault="00900079" w:rsidP="00900079">
      <w:pPr>
        <w:spacing w:after="0" w:line="240" w:lineRule="auto"/>
        <w:contextualSpacing/>
        <w:rPr>
          <w:rFonts w:ascii="Times New Roman" w:eastAsia="Times New Roman" w:hAnsi="Times New Roman"/>
          <w:b/>
        </w:rPr>
      </w:pPr>
    </w:p>
    <w:p w14:paraId="43A658D7" w14:textId="1127A5D5" w:rsidR="00900079" w:rsidRPr="000A42F6" w:rsidRDefault="00900079" w:rsidP="00900079">
      <w:pPr>
        <w:spacing w:after="0" w:line="240" w:lineRule="auto"/>
        <w:contextualSpacing/>
        <w:rPr>
          <w:rFonts w:ascii="Times New Roman" w:eastAsia="Times New Roman" w:hAnsi="Times New Roman"/>
          <w:bCs/>
        </w:rPr>
      </w:pPr>
      <w:r w:rsidRPr="000A42F6">
        <w:rPr>
          <w:rFonts w:ascii="Times New Roman" w:eastAsia="Times New Roman" w:hAnsi="Times New Roman"/>
          <w:b/>
        </w:rPr>
        <w:t xml:space="preserve">Table 3. Classifier Testing Data. </w:t>
      </w:r>
      <w:r w:rsidRPr="000A42F6">
        <w:rPr>
          <w:rFonts w:ascii="Times New Roman" w:eastAsia="Times New Roman" w:hAnsi="Times New Roman"/>
          <w:bCs/>
        </w:rPr>
        <w:t xml:space="preserve">Summary of accelerometer data used to test </w:t>
      </w:r>
      <w:r>
        <w:rPr>
          <w:rFonts w:ascii="Times New Roman" w:eastAsia="Times New Roman" w:hAnsi="Times New Roman"/>
          <w:bCs/>
        </w:rPr>
        <w:t>behavioral</w:t>
      </w:r>
      <w:r w:rsidRPr="000A42F6">
        <w:rPr>
          <w:rFonts w:ascii="Times New Roman" w:eastAsia="Times New Roman" w:hAnsi="Times New Roman"/>
          <w:bCs/>
        </w:rPr>
        <w:t xml:space="preserve"> classifier performance in three individuals not used for classifier training. The total duration (seconds) and total number of independent behaviors per class (Epochs), as well as their proportions (%) in classifier testing are listed. The expanded suite of ‘higher resolution’ </w:t>
      </w:r>
      <w:r>
        <w:rPr>
          <w:rFonts w:ascii="Times New Roman" w:eastAsia="Times New Roman" w:hAnsi="Times New Roman"/>
          <w:bCs/>
        </w:rPr>
        <w:t>behavioral</w:t>
      </w:r>
      <w:r w:rsidRPr="000A42F6">
        <w:rPr>
          <w:rFonts w:ascii="Times New Roman" w:eastAsia="Times New Roman" w:hAnsi="Times New Roman"/>
          <w:bCs/>
        </w:rPr>
        <w:t xml:space="preserve"> classes are also shown in rows shaded grey</w:t>
      </w:r>
      <w:r>
        <w:rPr>
          <w:rFonts w:ascii="Times New Roman" w:eastAsia="Times New Roman" w:hAnsi="Times New Roman"/>
          <w:bCs/>
        </w:rPr>
        <w:t xml:space="preserve"> and corresponding data are nested within their respective parent class, as in Table 2</w:t>
      </w:r>
      <w:r w:rsidRPr="000A42F6">
        <w:rPr>
          <w:rFonts w:ascii="Times New Roman" w:eastAsia="Times New Roman" w:hAnsi="Times New Roman"/>
          <w:bCs/>
        </w:rPr>
        <w:t>.</w:t>
      </w:r>
    </w:p>
    <w:bookmarkEnd w:id="0"/>
    <w:p w14:paraId="5FAB11A9" w14:textId="77777777" w:rsidR="00900079" w:rsidRPr="00F611D3" w:rsidRDefault="00900079" w:rsidP="00900079">
      <w:pPr>
        <w:spacing w:after="0" w:line="240" w:lineRule="auto"/>
        <w:contextualSpacing/>
        <w:rPr>
          <w:rFonts w:ascii="Times New Roman" w:eastAsia="Times New Roman" w:hAnsi="Times New Roman"/>
          <w:bCs/>
        </w:rPr>
      </w:pPr>
      <w:r w:rsidRPr="000A42F6">
        <w:rPr>
          <w:rFonts w:ascii="Times New Roman" w:eastAsia="Times New Roman" w:hAnsi="Times New Roman"/>
          <w:bCs/>
        </w:rPr>
        <w:t xml:space="preserve"> </w:t>
      </w:r>
    </w:p>
    <w:p w14:paraId="40D16D44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F611D3">
        <w:rPr>
          <w:noProof/>
        </w:rPr>
        <w:lastRenderedPageBreak/>
        <w:drawing>
          <wp:inline distT="0" distB="0" distL="0" distR="0" wp14:anchorId="7B9144C7" wp14:editId="0F088BF8">
            <wp:extent cx="2579370" cy="2190750"/>
            <wp:effectExtent l="0" t="0" r="0" b="0"/>
            <wp:docPr id="8912685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9A09F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3273C236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DEE7247" w14:textId="77777777" w:rsidR="00900079" w:rsidRPr="000A42F6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5FA2CD68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</w:rPr>
      </w:pPr>
      <w:r w:rsidRPr="000A42F6">
        <w:rPr>
          <w:rFonts w:ascii="Times New Roman" w:eastAsia="Times New Roman" w:hAnsi="Times New Roman"/>
          <w:b/>
        </w:rPr>
        <w:t xml:space="preserve">Table 4. </w:t>
      </w:r>
      <w:r>
        <w:rPr>
          <w:rFonts w:ascii="Times New Roman" w:eastAsia="Times New Roman" w:hAnsi="Times New Roman"/>
          <w:b/>
        </w:rPr>
        <w:t>Behavioral</w:t>
      </w:r>
      <w:r w:rsidRPr="000A42F6">
        <w:rPr>
          <w:rFonts w:ascii="Times New Roman" w:eastAsia="Times New Roman" w:hAnsi="Times New Roman"/>
          <w:b/>
        </w:rPr>
        <w:t xml:space="preserve"> Classifier Performance.</w:t>
      </w:r>
      <w:r w:rsidRPr="000A42F6">
        <w:rPr>
          <w:rFonts w:ascii="Times New Roman" w:eastAsia="Times New Roman" w:hAnsi="Times New Roman"/>
          <w:bCs/>
        </w:rPr>
        <w:t xml:space="preserve"> Confusion matrix showing </w:t>
      </w:r>
      <w:r>
        <w:rPr>
          <w:rFonts w:ascii="Times New Roman" w:eastAsia="Times New Roman" w:hAnsi="Times New Roman"/>
          <w:bCs/>
        </w:rPr>
        <w:t>behavioral</w:t>
      </w:r>
      <w:r w:rsidRPr="000A42F6">
        <w:rPr>
          <w:rFonts w:ascii="Times New Roman" w:eastAsia="Times New Roman" w:hAnsi="Times New Roman"/>
          <w:bCs/>
        </w:rPr>
        <w:t xml:space="preserve"> classifier</w:t>
      </w:r>
      <w:r>
        <w:rPr>
          <w:rFonts w:ascii="Times New Roman" w:eastAsia="Times New Roman" w:hAnsi="Times New Roman"/>
          <w:bCs/>
        </w:rPr>
        <w:t xml:space="preserve"> accuracy</w:t>
      </w:r>
      <w:r w:rsidRPr="000A42F6">
        <w:rPr>
          <w:rFonts w:ascii="Times New Roman" w:eastAsia="Times New Roman" w:hAnsi="Times New Roman"/>
          <w:bCs/>
        </w:rPr>
        <w:t xml:space="preserve"> tested on three individuals across six </w:t>
      </w:r>
      <w:r>
        <w:rPr>
          <w:rFonts w:ascii="Times New Roman" w:eastAsia="Times New Roman" w:hAnsi="Times New Roman"/>
          <w:bCs/>
        </w:rPr>
        <w:t>behavioral</w:t>
      </w:r>
      <w:r w:rsidRPr="000A42F6">
        <w:rPr>
          <w:rFonts w:ascii="Times New Roman" w:eastAsia="Times New Roman" w:hAnsi="Times New Roman"/>
          <w:bCs/>
        </w:rPr>
        <w:t xml:space="preserve"> classes. Classifier predictions are listed on the left column and ground</w:t>
      </w:r>
      <w:r>
        <w:rPr>
          <w:rFonts w:ascii="Times New Roman" w:eastAsia="Times New Roman" w:hAnsi="Times New Roman"/>
          <w:bCs/>
        </w:rPr>
        <w:t xml:space="preserve"> </w:t>
      </w:r>
      <w:r w:rsidRPr="000A42F6">
        <w:rPr>
          <w:rFonts w:ascii="Times New Roman" w:eastAsia="Times New Roman" w:hAnsi="Times New Roman"/>
          <w:bCs/>
        </w:rPr>
        <w:t xml:space="preserve">truth classes are listed on the second-to-last row. Values </w:t>
      </w:r>
      <w:r>
        <w:rPr>
          <w:rFonts w:ascii="Times New Roman" w:eastAsia="Times New Roman" w:hAnsi="Times New Roman"/>
          <w:bCs/>
        </w:rPr>
        <w:t>within the</w:t>
      </w:r>
      <w:r w:rsidRPr="000A42F6">
        <w:rPr>
          <w:rFonts w:ascii="Times New Roman" w:eastAsia="Times New Roman" w:hAnsi="Times New Roman"/>
          <w:bCs/>
        </w:rPr>
        <w:t xml:space="preserve"> matrix represent the total number of events for each predicted class (rows) and for each ground</w:t>
      </w:r>
      <w:r>
        <w:rPr>
          <w:rFonts w:ascii="Times New Roman" w:eastAsia="Times New Roman" w:hAnsi="Times New Roman"/>
          <w:bCs/>
        </w:rPr>
        <w:t xml:space="preserve"> </w:t>
      </w:r>
      <w:r w:rsidRPr="000A42F6">
        <w:rPr>
          <w:rFonts w:ascii="Times New Roman" w:eastAsia="Times New Roman" w:hAnsi="Times New Roman"/>
          <w:bCs/>
        </w:rPr>
        <w:t>truth observation (columns)</w:t>
      </w:r>
      <w:r>
        <w:rPr>
          <w:rFonts w:ascii="Times New Roman" w:eastAsia="Times New Roman" w:hAnsi="Times New Roman"/>
          <w:bCs/>
        </w:rPr>
        <w:t>, where an event corresponds to one acceleration data point recorded by the logger</w:t>
      </w:r>
      <w:r w:rsidRPr="000A42F6">
        <w:rPr>
          <w:rFonts w:ascii="Times New Roman" w:eastAsia="Times New Roman" w:hAnsi="Times New Roman"/>
          <w:bCs/>
        </w:rPr>
        <w:t xml:space="preserve">. Light green shaded cells </w:t>
      </w:r>
      <w:r>
        <w:rPr>
          <w:rFonts w:ascii="Times New Roman" w:eastAsia="Times New Roman" w:hAnsi="Times New Roman"/>
          <w:bCs/>
        </w:rPr>
        <w:t>inside</w:t>
      </w:r>
      <w:r w:rsidRPr="000A42F6">
        <w:rPr>
          <w:rFonts w:ascii="Times New Roman" w:eastAsia="Times New Roman" w:hAnsi="Times New Roman"/>
          <w:bCs/>
        </w:rPr>
        <w:t xml:space="preserve"> the matrix represent classifier predictions that match ground</w:t>
      </w:r>
      <w:r>
        <w:rPr>
          <w:rFonts w:ascii="Times New Roman" w:eastAsia="Times New Roman" w:hAnsi="Times New Roman"/>
          <w:bCs/>
        </w:rPr>
        <w:t xml:space="preserve"> </w:t>
      </w:r>
      <w:r w:rsidRPr="000A42F6">
        <w:rPr>
          <w:rFonts w:ascii="Times New Roman" w:eastAsia="Times New Roman" w:hAnsi="Times New Roman"/>
          <w:bCs/>
        </w:rPr>
        <w:t xml:space="preserve">truth observations. </w:t>
      </w:r>
      <w:r w:rsidRPr="000A42F6">
        <w:rPr>
          <w:rFonts w:ascii="Times New Roman" w:eastAsia="Times New Roman" w:hAnsi="Times New Roman"/>
        </w:rPr>
        <w:t>The likelihood that the classifier prediction matches that of the ground</w:t>
      </w:r>
      <w:r>
        <w:rPr>
          <w:rFonts w:ascii="Times New Roman" w:eastAsia="Times New Roman" w:hAnsi="Times New Roman"/>
        </w:rPr>
        <w:t xml:space="preserve"> </w:t>
      </w:r>
      <w:r w:rsidRPr="000A42F6">
        <w:rPr>
          <w:rFonts w:ascii="Times New Roman" w:eastAsia="Times New Roman" w:hAnsi="Times New Roman"/>
        </w:rPr>
        <w:t xml:space="preserve">truth observation for each </w:t>
      </w:r>
      <w:r>
        <w:rPr>
          <w:rFonts w:ascii="Times New Roman" w:eastAsia="Times New Roman" w:hAnsi="Times New Roman"/>
        </w:rPr>
        <w:t>behavior</w:t>
      </w:r>
      <w:r w:rsidRPr="000A42F6">
        <w:rPr>
          <w:rFonts w:ascii="Times New Roman" w:eastAsia="Times New Roman" w:hAnsi="Times New Roman"/>
        </w:rPr>
        <w:t xml:space="preserve"> class is represented by the Precision column </w:t>
      </w:r>
      <w:r>
        <w:rPr>
          <w:rFonts w:ascii="Times New Roman" w:eastAsia="Times New Roman" w:hAnsi="Times New Roman"/>
        </w:rPr>
        <w:t xml:space="preserve">shown </w:t>
      </w:r>
      <w:r w:rsidRPr="000A42F6">
        <w:rPr>
          <w:rFonts w:ascii="Times New Roman" w:eastAsia="Times New Roman" w:hAnsi="Times New Roman"/>
        </w:rPr>
        <w:t xml:space="preserve">on the right. The proportion of events in each class identified by the classifier is represented by Recall shown </w:t>
      </w:r>
      <w:r>
        <w:rPr>
          <w:rFonts w:ascii="Times New Roman" w:eastAsia="Times New Roman" w:hAnsi="Times New Roman"/>
        </w:rPr>
        <w:t>on the</w:t>
      </w:r>
      <w:r w:rsidRPr="000A42F6">
        <w:rPr>
          <w:rFonts w:ascii="Times New Roman" w:eastAsia="Times New Roman" w:hAnsi="Times New Roman"/>
        </w:rPr>
        <w:t xml:space="preserve"> bottom row. Lighter to darker shades of green in Precision and Recall cells indicate lower to higher classification performance, respectively. </w:t>
      </w:r>
    </w:p>
    <w:p w14:paraId="03AEF0CB" w14:textId="77777777" w:rsidR="00900079" w:rsidRPr="000A42F6" w:rsidRDefault="00900079" w:rsidP="00900079">
      <w:pPr>
        <w:spacing w:after="0" w:line="240" w:lineRule="auto"/>
        <w:rPr>
          <w:rFonts w:ascii="Times New Roman" w:eastAsia="Times New Roman" w:hAnsi="Times New Roman"/>
          <w:bCs/>
        </w:rPr>
      </w:pPr>
    </w:p>
    <w:tbl>
      <w:tblPr>
        <w:tblW w:w="7701" w:type="dxa"/>
        <w:tblInd w:w="-285" w:type="dxa"/>
        <w:tblLook w:val="04A0" w:firstRow="1" w:lastRow="0" w:firstColumn="1" w:lastColumn="0" w:noHBand="0" w:noVBand="1"/>
      </w:tblPr>
      <w:tblGrid>
        <w:gridCol w:w="1080"/>
        <w:gridCol w:w="845"/>
        <w:gridCol w:w="808"/>
        <w:gridCol w:w="1003"/>
        <w:gridCol w:w="935"/>
        <w:gridCol w:w="845"/>
        <w:gridCol w:w="845"/>
        <w:gridCol w:w="1340"/>
      </w:tblGrid>
      <w:tr w:rsidR="00900079" w:rsidRPr="000A42F6" w14:paraId="1F93E4CE" w14:textId="77777777" w:rsidTr="00AC32BE">
        <w:trPr>
          <w:trHeight w:val="330"/>
        </w:trPr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583F56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Prediction:</w:t>
            </w:r>
          </w:p>
        </w:tc>
        <w:tc>
          <w:tcPr>
            <w:tcW w:w="5281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982AACB" w14:textId="77777777" w:rsidR="00900079" w:rsidRPr="000A42F6" w:rsidRDefault="00900079" w:rsidP="00AC32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Behavioral</w:t>
            </w: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Classifier Confusion Matrix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DF24CF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PRECISION (%)</w:t>
            </w:r>
          </w:p>
        </w:tc>
      </w:tr>
      <w:tr w:rsidR="00900079" w:rsidRPr="000A42F6" w14:paraId="47762E3C" w14:textId="77777777" w:rsidTr="00AC32BE">
        <w:trPr>
          <w:trHeight w:val="31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D70E1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Walk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09A02A8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36851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08B444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2883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9C6E7C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EB5A50A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5514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98946E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472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0DBD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2064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49DC8B"/>
            <w:noWrap/>
            <w:vAlign w:val="bottom"/>
            <w:hideMark/>
          </w:tcPr>
          <w:p w14:paraId="3EAE802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77.1</w:t>
            </w:r>
          </w:p>
        </w:tc>
      </w:tr>
      <w:tr w:rsidR="00900079" w:rsidRPr="000A42F6" w14:paraId="09FF7486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D87FC7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BAAAFD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2758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3E27931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9863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F42624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0C0E28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5606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2BE6F3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1580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BD709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3881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CDFFE4"/>
            <w:noWrap/>
            <w:vAlign w:val="bottom"/>
            <w:hideMark/>
          </w:tcPr>
          <w:p w14:paraId="24952D8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41.6</w:t>
            </w:r>
          </w:p>
        </w:tc>
      </w:tr>
      <w:tr w:rsidR="00900079" w:rsidRPr="000A42F6" w14:paraId="1C65FDDD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25F72C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Rest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388193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73B4E3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253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2934263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101077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0A9DE9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FCD614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19EED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3379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00C85A"/>
            <w:noWrap/>
            <w:vAlign w:val="bottom"/>
            <w:hideMark/>
          </w:tcPr>
          <w:p w14:paraId="6EED306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96.5</w:t>
            </w:r>
          </w:p>
        </w:tc>
      </w:tr>
      <w:tr w:rsidR="00900079" w:rsidRPr="000A42F6" w14:paraId="02012480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C8CE3F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Forage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59CFAE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962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251B28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1090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33BAE2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0393F8D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62545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EBE033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2361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DDD7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995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11CD66"/>
            <w:noWrap/>
            <w:vAlign w:val="bottom"/>
            <w:hideMark/>
          </w:tcPr>
          <w:p w14:paraId="6F754C6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92.0</w:t>
            </w:r>
          </w:p>
        </w:tc>
      </w:tr>
      <w:tr w:rsidR="00900079" w:rsidRPr="000A42F6" w14:paraId="00D9E1AF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1F994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Run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830434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E9231E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788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991A21D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305371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5A1F06E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13649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58C9CB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173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11CD65"/>
            <w:noWrap/>
            <w:vAlign w:val="bottom"/>
            <w:hideMark/>
          </w:tcPr>
          <w:p w14:paraId="304276F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92.1</w:t>
            </w:r>
          </w:p>
        </w:tc>
      </w:tr>
      <w:tr w:rsidR="00900079" w:rsidRPr="000A42F6" w14:paraId="74FD0C4E" w14:textId="77777777" w:rsidTr="00AC32BE">
        <w:trPr>
          <w:trHeight w:val="31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B399CA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Stand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21FC27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508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773F34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174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648861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8987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74C188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656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D55277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209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bottom"/>
            <w:hideMark/>
          </w:tcPr>
          <w:p w14:paraId="66D6E95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35409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49DC8B"/>
            <w:noWrap/>
            <w:vAlign w:val="bottom"/>
            <w:hideMark/>
          </w:tcPr>
          <w:p w14:paraId="5DC1F5B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77.1</w:t>
            </w:r>
          </w:p>
        </w:tc>
      </w:tr>
      <w:tr w:rsidR="00900079" w:rsidRPr="000A42F6" w14:paraId="72FC223B" w14:textId="77777777" w:rsidTr="00AC32BE">
        <w:trPr>
          <w:trHeight w:val="31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CDF27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Truth: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9DB88E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Walk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61F352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646AD9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Rest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07F9D2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Forage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ABCCCB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Run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56EE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Stand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79CA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900079" w:rsidRPr="000A42F6" w14:paraId="36071669" w14:textId="77777777" w:rsidTr="00AC32BE">
        <w:trPr>
          <w:trHeight w:val="31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A2832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RECALL (%)</w:t>
            </w:r>
          </w:p>
        </w:tc>
        <w:tc>
          <w:tcPr>
            <w:tcW w:w="845" w:type="dxa"/>
            <w:tcBorders>
              <w:top w:val="nil"/>
              <w:left w:val="single" w:sz="8" w:space="0" w:color="auto"/>
              <w:bottom w:val="single" w:sz="12" w:space="0" w:color="auto"/>
              <w:right w:val="single" w:sz="4" w:space="0" w:color="D9D9D9"/>
            </w:tcBorders>
            <w:shd w:val="clear" w:color="000000" w:fill="14CE68"/>
            <w:noWrap/>
            <w:vAlign w:val="bottom"/>
            <w:hideMark/>
          </w:tcPr>
          <w:p w14:paraId="79A4DC4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89.3</w:t>
            </w:r>
          </w:p>
        </w:tc>
        <w:tc>
          <w:tcPr>
            <w:tcW w:w="808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CDFFE4"/>
            <w:noWrap/>
            <w:vAlign w:val="bottom"/>
            <w:hideMark/>
          </w:tcPr>
          <w:p w14:paraId="44A29E8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65.5</w:t>
            </w:r>
          </w:p>
        </w:tc>
        <w:tc>
          <w:tcPr>
            <w:tcW w:w="1003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00C85A"/>
            <w:noWrap/>
            <w:vAlign w:val="bottom"/>
            <w:hideMark/>
          </w:tcPr>
          <w:p w14:paraId="2DA77C2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91.8</w:t>
            </w:r>
          </w:p>
        </w:tc>
        <w:tc>
          <w:tcPr>
            <w:tcW w:w="935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3DD983"/>
            <w:noWrap/>
            <w:vAlign w:val="bottom"/>
            <w:hideMark/>
          </w:tcPr>
          <w:p w14:paraId="0D51B97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84.1</w:t>
            </w:r>
          </w:p>
        </w:tc>
        <w:tc>
          <w:tcPr>
            <w:tcW w:w="845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86ECB4"/>
            <w:noWrap/>
            <w:vAlign w:val="bottom"/>
            <w:hideMark/>
          </w:tcPr>
          <w:p w14:paraId="1345861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74.7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73E7A8"/>
            <w:noWrap/>
            <w:vAlign w:val="bottom"/>
            <w:hideMark/>
          </w:tcPr>
          <w:p w14:paraId="6D35009B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77.1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309F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</w:tbl>
    <w:p w14:paraId="48F37B08" w14:textId="77777777" w:rsidR="00900079" w:rsidRDefault="00900079" w:rsidP="00900079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  <w:highlight w:val="cyan"/>
        </w:rPr>
      </w:pPr>
    </w:p>
    <w:p w14:paraId="3FC3C749" w14:textId="77777777" w:rsidR="00900079" w:rsidRDefault="00900079" w:rsidP="00900079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  <w:highlight w:val="cyan"/>
        </w:rPr>
      </w:pPr>
    </w:p>
    <w:p w14:paraId="54C10C24" w14:textId="77777777" w:rsidR="00900079" w:rsidRDefault="00900079" w:rsidP="00900079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  <w:highlight w:val="cyan"/>
        </w:rPr>
      </w:pPr>
    </w:p>
    <w:p w14:paraId="31ABD9CA" w14:textId="77777777" w:rsidR="00900079" w:rsidRPr="000A42F6" w:rsidRDefault="00900079" w:rsidP="00900079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highlight w:val="cyan"/>
        </w:rPr>
      </w:pPr>
    </w:p>
    <w:p w14:paraId="28CEF92B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Cs/>
        </w:rPr>
      </w:pPr>
      <w:r w:rsidRPr="000A42F6">
        <w:rPr>
          <w:rFonts w:ascii="Times New Roman" w:eastAsia="Times New Roman" w:hAnsi="Times New Roman"/>
          <w:b/>
        </w:rPr>
        <w:t>Table 6. Expanded Classifier Performance.</w:t>
      </w:r>
      <w:r w:rsidRPr="000A42F6">
        <w:rPr>
          <w:rFonts w:ascii="Times New Roman" w:eastAsia="Times New Roman" w:hAnsi="Times New Roman"/>
          <w:bCs/>
        </w:rPr>
        <w:t xml:space="preserve"> Confusion matrix showing </w:t>
      </w:r>
      <w:r>
        <w:rPr>
          <w:rFonts w:ascii="Times New Roman" w:eastAsia="Times New Roman" w:hAnsi="Times New Roman"/>
          <w:bCs/>
        </w:rPr>
        <w:t>behavioral</w:t>
      </w:r>
      <w:r w:rsidRPr="000A42F6">
        <w:rPr>
          <w:rFonts w:ascii="Times New Roman" w:eastAsia="Times New Roman" w:hAnsi="Times New Roman"/>
          <w:bCs/>
        </w:rPr>
        <w:t xml:space="preserve"> classifier</w:t>
      </w:r>
      <w:r>
        <w:rPr>
          <w:rFonts w:ascii="Times New Roman" w:eastAsia="Times New Roman" w:hAnsi="Times New Roman"/>
          <w:bCs/>
        </w:rPr>
        <w:t xml:space="preserve"> accuracy</w:t>
      </w:r>
      <w:r w:rsidRPr="000A42F6">
        <w:rPr>
          <w:rFonts w:ascii="Times New Roman" w:eastAsia="Times New Roman" w:hAnsi="Times New Roman"/>
          <w:bCs/>
        </w:rPr>
        <w:t xml:space="preserve"> tested on three individuals across the expanded suite of nine </w:t>
      </w:r>
      <w:r>
        <w:rPr>
          <w:rFonts w:ascii="Times New Roman" w:eastAsia="Times New Roman" w:hAnsi="Times New Roman"/>
          <w:bCs/>
        </w:rPr>
        <w:t>behavioral</w:t>
      </w:r>
      <w:r w:rsidRPr="000A42F6">
        <w:rPr>
          <w:rFonts w:ascii="Times New Roman" w:eastAsia="Times New Roman" w:hAnsi="Times New Roman"/>
          <w:bCs/>
        </w:rPr>
        <w:t xml:space="preserve"> classes. Table format is identical to</w:t>
      </w:r>
      <w:r>
        <w:rPr>
          <w:rFonts w:ascii="Times New Roman" w:eastAsia="Times New Roman" w:hAnsi="Times New Roman"/>
          <w:bCs/>
        </w:rPr>
        <w:t xml:space="preserve"> that shown in</w:t>
      </w:r>
      <w:r w:rsidRPr="000A42F6">
        <w:rPr>
          <w:rFonts w:ascii="Times New Roman" w:eastAsia="Times New Roman" w:hAnsi="Times New Roman"/>
          <w:bCs/>
        </w:rPr>
        <w:t xml:space="preserve"> Table 4.</w:t>
      </w:r>
    </w:p>
    <w:p w14:paraId="2739B7D8" w14:textId="77777777" w:rsidR="00900079" w:rsidRPr="000A42F6" w:rsidRDefault="00900079" w:rsidP="00900079">
      <w:pPr>
        <w:spacing w:after="0" w:line="240" w:lineRule="auto"/>
        <w:rPr>
          <w:rFonts w:ascii="Times New Roman" w:eastAsia="Times New Roman" w:hAnsi="Times New Roman"/>
          <w:bCs/>
        </w:rPr>
      </w:pPr>
    </w:p>
    <w:tbl>
      <w:tblPr>
        <w:tblW w:w="10341" w:type="dxa"/>
        <w:tblInd w:w="-285" w:type="dxa"/>
        <w:tblLook w:val="04A0" w:firstRow="1" w:lastRow="0" w:firstColumn="1" w:lastColumn="0" w:noHBand="0" w:noVBand="1"/>
      </w:tblPr>
      <w:tblGrid>
        <w:gridCol w:w="1080"/>
        <w:gridCol w:w="865"/>
        <w:gridCol w:w="828"/>
        <w:gridCol w:w="1027"/>
        <w:gridCol w:w="958"/>
        <w:gridCol w:w="702"/>
        <w:gridCol w:w="702"/>
        <w:gridCol w:w="720"/>
        <w:gridCol w:w="865"/>
        <w:gridCol w:w="1254"/>
        <w:gridCol w:w="1340"/>
      </w:tblGrid>
      <w:tr w:rsidR="00900079" w:rsidRPr="000A42F6" w14:paraId="426EE957" w14:textId="77777777" w:rsidTr="00AC32BE">
        <w:trPr>
          <w:trHeight w:val="330"/>
        </w:trPr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4EAF69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Prediction:</w:t>
            </w:r>
          </w:p>
        </w:tc>
        <w:tc>
          <w:tcPr>
            <w:tcW w:w="7921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1AC3619" w14:textId="77777777" w:rsidR="00900079" w:rsidRPr="000A42F6" w:rsidRDefault="00900079" w:rsidP="00AC32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Behavioral</w:t>
            </w: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Classifier Confusion Matrix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A426BC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PRECISION (%)</w:t>
            </w:r>
          </w:p>
        </w:tc>
      </w:tr>
      <w:tr w:rsidR="00900079" w:rsidRPr="000A42F6" w14:paraId="4A5F82EB" w14:textId="77777777" w:rsidTr="00AC32BE">
        <w:trPr>
          <w:trHeight w:val="31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FA8FCA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lastRenderedPageBreak/>
              <w:t>Walk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2E6B026A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36851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A4861AA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2883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5D7A9B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D9603E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4643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F219B6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871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7528A8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498BF3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2ECBC4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1885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0EAE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179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2BD477"/>
            <w:noWrap/>
            <w:vAlign w:val="bottom"/>
            <w:hideMark/>
          </w:tcPr>
          <w:p w14:paraId="01418A3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77.1</w:t>
            </w:r>
          </w:p>
        </w:tc>
      </w:tr>
      <w:tr w:rsidR="00900079" w:rsidRPr="000A42F6" w14:paraId="29947574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E5AA5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658591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2758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065F79F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9863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7D6B6B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32BACD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3959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D91CC2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1647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D52DD0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601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EF600A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979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E82E4F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3334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96FF0B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547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78E8AB"/>
            <w:noWrap/>
            <w:vAlign w:val="bottom"/>
            <w:hideMark/>
          </w:tcPr>
          <w:p w14:paraId="31C339FD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41.6</w:t>
            </w:r>
          </w:p>
        </w:tc>
      </w:tr>
      <w:tr w:rsidR="00900079" w:rsidRPr="000A42F6" w14:paraId="3BC75A30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AB51D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Rest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BB2E86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98BCE6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253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237B1F3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101077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5693ED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19DCC3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DAF9C8A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515361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9C8258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3330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53C55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49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00C85A"/>
            <w:noWrap/>
            <w:vAlign w:val="bottom"/>
            <w:hideMark/>
          </w:tcPr>
          <w:p w14:paraId="3EC58D3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96.5</w:t>
            </w:r>
          </w:p>
        </w:tc>
      </w:tr>
      <w:tr w:rsidR="00900079" w:rsidRPr="000A42F6" w14:paraId="73CB6D1F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BA9CB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Forage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B0DC01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170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98F090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587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F5AF14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2EE6AABA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42458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230600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4415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4E20C0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EF3FD3A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14652A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457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DD3CB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478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14CE68"/>
            <w:noWrap/>
            <w:vAlign w:val="bottom"/>
            <w:hideMark/>
          </w:tcPr>
          <w:p w14:paraId="2F6FEC5D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87.4</w:t>
            </w:r>
          </w:p>
        </w:tc>
      </w:tr>
      <w:tr w:rsidR="00900079" w:rsidRPr="000A42F6" w14:paraId="09E266D1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262716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Root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8B6555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792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5F4454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503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71316B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25AC3A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7061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6F114D8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8611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5D784F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2360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815CC2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744EF3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B14E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72E7A7"/>
            <w:noWrap/>
            <w:vAlign w:val="bottom"/>
            <w:hideMark/>
          </w:tcPr>
          <w:p w14:paraId="5A7D098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44.4</w:t>
            </w:r>
          </w:p>
        </w:tc>
      </w:tr>
      <w:tr w:rsidR="00900079" w:rsidRPr="000A42F6" w14:paraId="1F7A35C2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8F284E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Run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80A240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8143B3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129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B317D30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49C4EB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B857A4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4AB0086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7164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E3F036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109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27251C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8CE9B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01C95B"/>
            <w:noWrap/>
            <w:vAlign w:val="bottom"/>
            <w:hideMark/>
          </w:tcPr>
          <w:p w14:paraId="5ADB05CB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96.1</w:t>
            </w:r>
          </w:p>
        </w:tc>
      </w:tr>
      <w:tr w:rsidR="00900079" w:rsidRPr="000A42F6" w14:paraId="78E64C67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6D145E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Trott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9B3192A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6D930E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659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53512A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019BEF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6BF5D2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66551B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1306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57FCF4A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5070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E42B1B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119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792E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3CD983"/>
            <w:noWrap/>
            <w:vAlign w:val="bottom"/>
            <w:hideMark/>
          </w:tcPr>
          <w:p w14:paraId="5ABBFD0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68.9</w:t>
            </w:r>
          </w:p>
        </w:tc>
      </w:tr>
      <w:tr w:rsidR="00900079" w:rsidRPr="000A42F6" w14:paraId="26EC3BA8" w14:textId="77777777" w:rsidTr="00AC32BE">
        <w:trPr>
          <w:trHeight w:val="30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0E1656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Stand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57BB21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56BF5D3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9C24E7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8372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E49B2A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585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C58898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6BA236A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9184AE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E2EFDA"/>
            <w:noWrap/>
            <w:vAlign w:val="bottom"/>
            <w:hideMark/>
          </w:tcPr>
          <w:p w14:paraId="43FEB22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27766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D9D9D9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06208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2980</w:t>
            </w:r>
          </w:p>
        </w:tc>
        <w:tc>
          <w:tcPr>
            <w:tcW w:w="1340" w:type="dxa"/>
            <w:tcBorders>
              <w:top w:val="single" w:sz="4" w:space="0" w:color="D9D9D9"/>
              <w:left w:val="nil"/>
              <w:bottom w:val="single" w:sz="4" w:space="0" w:color="D9D9D9"/>
              <w:right w:val="single" w:sz="12" w:space="0" w:color="auto"/>
            </w:tcBorders>
            <w:shd w:val="clear" w:color="000000" w:fill="3DD983"/>
            <w:noWrap/>
            <w:vAlign w:val="bottom"/>
            <w:hideMark/>
          </w:tcPr>
          <w:p w14:paraId="0F1B572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68.5</w:t>
            </w:r>
          </w:p>
        </w:tc>
      </w:tr>
      <w:tr w:rsidR="00900079" w:rsidRPr="000A42F6" w14:paraId="5010A9E7" w14:textId="77777777" w:rsidTr="00AC32BE">
        <w:trPr>
          <w:trHeight w:val="315"/>
        </w:trPr>
        <w:tc>
          <w:tcPr>
            <w:tcW w:w="1080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B95B7F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Vigilance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4F7EB36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74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607227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57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AC1799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615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B6220D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E93D96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90784A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078E4C5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8ED14D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4547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2EFDA"/>
            <w:noWrap/>
            <w:vAlign w:val="bottom"/>
            <w:hideMark/>
          </w:tcPr>
          <w:p w14:paraId="0A45233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CDFFE4"/>
            <w:noWrap/>
            <w:vAlign w:val="bottom"/>
            <w:hideMark/>
          </w:tcPr>
          <w:p w14:paraId="1964EE24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2.1</w:t>
            </w:r>
          </w:p>
        </w:tc>
      </w:tr>
      <w:tr w:rsidR="00900079" w:rsidRPr="000A42F6" w14:paraId="29A637A1" w14:textId="77777777" w:rsidTr="00AC32BE">
        <w:trPr>
          <w:trHeight w:val="330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52E00E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Truth:</w:t>
            </w:r>
          </w:p>
        </w:tc>
        <w:tc>
          <w:tcPr>
            <w:tcW w:w="8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86A4A75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Walk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0B74E62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10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346E451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Rest</w:t>
            </w:r>
          </w:p>
        </w:tc>
        <w:tc>
          <w:tcPr>
            <w:tcW w:w="9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1B19B51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Forage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5A04C7E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Root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11A354FE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Run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200583C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Trot</w:t>
            </w:r>
          </w:p>
        </w:tc>
        <w:tc>
          <w:tcPr>
            <w:tcW w:w="8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245C5F9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Stand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C8A291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Vigilance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8EF5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900079" w:rsidRPr="000A42F6" w14:paraId="7699FECF" w14:textId="77777777" w:rsidTr="00AC32BE">
        <w:trPr>
          <w:trHeight w:val="31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B0E12B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RECALL (%)</w:t>
            </w:r>
          </w:p>
        </w:tc>
        <w:tc>
          <w:tcPr>
            <w:tcW w:w="865" w:type="dxa"/>
            <w:tcBorders>
              <w:top w:val="nil"/>
              <w:left w:val="single" w:sz="8" w:space="0" w:color="auto"/>
              <w:bottom w:val="single" w:sz="12" w:space="0" w:color="auto"/>
              <w:right w:val="single" w:sz="4" w:space="0" w:color="D9D9D9"/>
            </w:tcBorders>
            <w:shd w:val="clear" w:color="000000" w:fill="06CA5E"/>
            <w:noWrap/>
            <w:vAlign w:val="bottom"/>
            <w:hideMark/>
          </w:tcPr>
          <w:p w14:paraId="64BB2BF9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89.3</w:t>
            </w:r>
          </w:p>
        </w:tc>
        <w:tc>
          <w:tcPr>
            <w:tcW w:w="828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3DD983"/>
            <w:noWrap/>
            <w:vAlign w:val="bottom"/>
            <w:hideMark/>
          </w:tcPr>
          <w:p w14:paraId="7B92EB3C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65.5</w:t>
            </w:r>
          </w:p>
        </w:tc>
        <w:tc>
          <w:tcPr>
            <w:tcW w:w="1027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00C85A"/>
            <w:noWrap/>
            <w:vAlign w:val="bottom"/>
            <w:hideMark/>
          </w:tcPr>
          <w:p w14:paraId="4E575FB2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91.8</w:t>
            </w:r>
          </w:p>
        </w:tc>
        <w:tc>
          <w:tcPr>
            <w:tcW w:w="958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2DD579"/>
            <w:noWrap/>
            <w:vAlign w:val="bottom"/>
            <w:hideMark/>
          </w:tcPr>
          <w:p w14:paraId="08FF1618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72.3</w:t>
            </w:r>
          </w:p>
        </w:tc>
        <w:tc>
          <w:tcPr>
            <w:tcW w:w="702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55DF93"/>
            <w:noWrap/>
            <w:vAlign w:val="bottom"/>
            <w:hideMark/>
          </w:tcPr>
          <w:p w14:paraId="3CFF55C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55.2</w:t>
            </w:r>
          </w:p>
        </w:tc>
        <w:tc>
          <w:tcPr>
            <w:tcW w:w="702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48DC8B"/>
            <w:noWrap/>
            <w:vAlign w:val="bottom"/>
            <w:hideMark/>
          </w:tcPr>
          <w:p w14:paraId="2A8BBDCB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60.7</w:t>
            </w:r>
          </w:p>
        </w:tc>
        <w:tc>
          <w:tcPr>
            <w:tcW w:w="720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1FD16F"/>
            <w:noWrap/>
            <w:vAlign w:val="bottom"/>
            <w:hideMark/>
          </w:tcPr>
          <w:p w14:paraId="4DFCD52F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78.4</w:t>
            </w:r>
          </w:p>
        </w:tc>
        <w:tc>
          <w:tcPr>
            <w:tcW w:w="865" w:type="dxa"/>
            <w:tcBorders>
              <w:top w:val="nil"/>
              <w:left w:val="single" w:sz="4" w:space="0" w:color="D9D9D9"/>
              <w:bottom w:val="single" w:sz="12" w:space="0" w:color="auto"/>
              <w:right w:val="single" w:sz="4" w:space="0" w:color="D9D9D9"/>
            </w:tcBorders>
            <w:shd w:val="clear" w:color="000000" w:fill="3AD881"/>
            <w:noWrap/>
            <w:vAlign w:val="bottom"/>
            <w:hideMark/>
          </w:tcPr>
          <w:p w14:paraId="778B4E01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66.9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CDFFE4"/>
            <w:noWrap/>
            <w:vAlign w:val="bottom"/>
            <w:hideMark/>
          </w:tcPr>
          <w:p w14:paraId="363C65B7" w14:textId="77777777" w:rsidR="00900079" w:rsidRPr="000A42F6" w:rsidRDefault="00900079" w:rsidP="00AC32B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2.6</w:t>
            </w:r>
          </w:p>
        </w:tc>
        <w:tc>
          <w:tcPr>
            <w:tcW w:w="1340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DFF1" w14:textId="77777777" w:rsidR="00900079" w:rsidRPr="000A42F6" w:rsidRDefault="00900079" w:rsidP="00AC32B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0A42F6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</w:tbl>
    <w:p w14:paraId="0CD13860" w14:textId="77777777" w:rsidR="00900079" w:rsidRPr="000A42F6" w:rsidRDefault="00900079" w:rsidP="00900079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</w:rPr>
      </w:pPr>
    </w:p>
    <w:p w14:paraId="516C6103" w14:textId="77777777" w:rsidR="00900079" w:rsidRPr="000A42F6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45D29B63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3BA00300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049FEF45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06AADC7F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63D9B0FA" w14:textId="77777777" w:rsidR="00900079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3167538B" w14:textId="77777777" w:rsidR="00900079" w:rsidRPr="000A42F6" w:rsidRDefault="00900079" w:rsidP="0090007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63FCC479" w14:textId="77777777" w:rsidR="00900079" w:rsidRDefault="00900079" w:rsidP="00900079">
      <w:pPr>
        <w:spacing w:line="240" w:lineRule="auto"/>
        <w:contextualSpacing/>
        <w:rPr>
          <w:rFonts w:ascii="Times New Roman" w:eastAsia="Times New Roman" w:hAnsi="Times New Roman"/>
        </w:rPr>
      </w:pPr>
      <w:r w:rsidRPr="000A42F6">
        <w:rPr>
          <w:rFonts w:ascii="Times New Roman" w:eastAsia="Times New Roman" w:hAnsi="Times New Roman"/>
          <w:b/>
          <w:bCs/>
        </w:rPr>
        <w:t>Table 7. Magnetic Heading Field Test.</w:t>
      </w:r>
      <w:r w:rsidRPr="000A42F6">
        <w:rPr>
          <w:rFonts w:ascii="Times New Roman" w:eastAsia="Times New Roman" w:hAnsi="Times New Roman"/>
        </w:rPr>
        <w:t xml:space="preserve"> Summary and results of ground</w:t>
      </w:r>
      <w:r>
        <w:rPr>
          <w:rFonts w:ascii="Times New Roman" w:eastAsia="Times New Roman" w:hAnsi="Times New Roman"/>
        </w:rPr>
        <w:t xml:space="preserve"> </w:t>
      </w:r>
      <w:r w:rsidRPr="000A42F6">
        <w:rPr>
          <w:rFonts w:ascii="Times New Roman" w:eastAsia="Times New Roman" w:hAnsi="Times New Roman"/>
        </w:rPr>
        <w:t xml:space="preserve">truth magnetic compass headings. The proportion of time (% Duration) and </w:t>
      </w:r>
      <w:r>
        <w:rPr>
          <w:rFonts w:ascii="Times New Roman" w:eastAsia="Times New Roman" w:hAnsi="Times New Roman"/>
        </w:rPr>
        <w:t xml:space="preserve">the </w:t>
      </w:r>
      <w:r w:rsidRPr="000A42F6">
        <w:rPr>
          <w:rFonts w:ascii="Times New Roman" w:eastAsia="Times New Roman" w:hAnsi="Times New Roman"/>
        </w:rPr>
        <w:t xml:space="preserve">proportion </w:t>
      </w:r>
      <w:r>
        <w:rPr>
          <w:rFonts w:ascii="Times New Roman" w:eastAsia="Times New Roman" w:hAnsi="Times New Roman"/>
        </w:rPr>
        <w:t xml:space="preserve">of </w:t>
      </w:r>
      <w:r w:rsidRPr="000A42F6">
        <w:rPr>
          <w:rFonts w:ascii="Times New Roman" w:eastAsia="Times New Roman" w:hAnsi="Times New Roman"/>
        </w:rPr>
        <w:t xml:space="preserve">epochs from each </w:t>
      </w:r>
      <w:r>
        <w:rPr>
          <w:rFonts w:ascii="Times New Roman" w:eastAsia="Times New Roman" w:hAnsi="Times New Roman"/>
        </w:rPr>
        <w:t>behavioral</w:t>
      </w:r>
      <w:r w:rsidRPr="000A42F6">
        <w:rPr>
          <w:rFonts w:ascii="Times New Roman" w:eastAsia="Times New Roman" w:hAnsi="Times New Roman"/>
        </w:rPr>
        <w:t xml:space="preserve"> class (% Epochs) used to ground truth the magnetic headings are listed, partitioned by individual. Combined data from all individuals</w:t>
      </w:r>
      <w:r>
        <w:rPr>
          <w:rFonts w:ascii="Times New Roman" w:eastAsia="Times New Roman" w:hAnsi="Times New Roman"/>
        </w:rPr>
        <w:t xml:space="preserve"> tested</w:t>
      </w:r>
      <w:r w:rsidRPr="000A42F6">
        <w:rPr>
          <w:rFonts w:ascii="Times New Roman" w:eastAsia="Times New Roman" w:hAnsi="Times New Roman"/>
        </w:rPr>
        <w:t xml:space="preserve">, per </w:t>
      </w:r>
      <w:r>
        <w:rPr>
          <w:rFonts w:ascii="Times New Roman" w:eastAsia="Times New Roman" w:hAnsi="Times New Roman"/>
        </w:rPr>
        <w:t>behavioral</w:t>
      </w:r>
      <w:r w:rsidRPr="000A42F6">
        <w:rPr>
          <w:rFonts w:ascii="Times New Roman" w:eastAsia="Times New Roman" w:hAnsi="Times New Roman"/>
        </w:rPr>
        <w:t xml:space="preserve"> class</w:t>
      </w:r>
      <w:r>
        <w:rPr>
          <w:rFonts w:ascii="Times New Roman" w:eastAsia="Times New Roman" w:hAnsi="Times New Roman"/>
        </w:rPr>
        <w:t>,</w:t>
      </w:r>
      <w:r w:rsidRPr="000A42F6">
        <w:rPr>
          <w:rFonts w:ascii="Times New Roman" w:eastAsia="Times New Roman" w:hAnsi="Times New Roman"/>
        </w:rPr>
        <w:t xml:space="preserve"> are shown. Median magnetic heading measurements </w:t>
      </w:r>
      <w:r>
        <w:rPr>
          <w:rFonts w:ascii="Times New Roman" w:eastAsia="Times New Roman" w:hAnsi="Times New Roman"/>
        </w:rPr>
        <w:t>calculated</w:t>
      </w:r>
      <w:r w:rsidRPr="000A42F6">
        <w:rPr>
          <w:rFonts w:ascii="Times New Roman" w:eastAsia="Times New Roman" w:hAnsi="Times New Roman"/>
        </w:rPr>
        <w:t xml:space="preserve"> by DDMT, relative to ground truth </w:t>
      </w:r>
      <w:r>
        <w:rPr>
          <w:rFonts w:ascii="Times New Roman" w:eastAsia="Times New Roman" w:hAnsi="Times New Roman"/>
        </w:rPr>
        <w:t>predications</w:t>
      </w:r>
      <w:r w:rsidRPr="000A42F6">
        <w:rPr>
          <w:rFonts w:ascii="Times New Roman" w:eastAsia="Times New Roman" w:hAnsi="Times New Roman"/>
        </w:rPr>
        <w:t xml:space="preserve"> are shown per </w:t>
      </w:r>
      <w:r>
        <w:rPr>
          <w:rFonts w:ascii="Times New Roman" w:eastAsia="Times New Roman" w:hAnsi="Times New Roman"/>
        </w:rPr>
        <w:t>behavioral</w:t>
      </w:r>
      <w:r w:rsidRPr="000A42F6">
        <w:rPr>
          <w:rFonts w:ascii="Times New Roman" w:eastAsia="Times New Roman" w:hAnsi="Times New Roman"/>
        </w:rPr>
        <w:t xml:space="preserve"> class and partitioned by individual. In cases with a negative (-) median value, the corresponding magnetic compass heading is shown in parentheses. </w:t>
      </w:r>
    </w:p>
    <w:p w14:paraId="730A5302" w14:textId="77777777" w:rsidR="00900079" w:rsidRPr="000A42F6" w:rsidRDefault="00900079" w:rsidP="00900079">
      <w:pPr>
        <w:spacing w:line="240" w:lineRule="auto"/>
        <w:contextualSpacing/>
        <w:rPr>
          <w:rFonts w:ascii="Times New Roman" w:eastAsia="Times New Roman" w:hAnsi="Times New Roman"/>
        </w:rPr>
      </w:pPr>
    </w:p>
    <w:p w14:paraId="6E1F79FF" w14:textId="77777777" w:rsidR="00900079" w:rsidRPr="000A42F6" w:rsidRDefault="00900079" w:rsidP="00900079">
      <w:pPr>
        <w:spacing w:line="240" w:lineRule="auto"/>
        <w:contextualSpacing/>
        <w:rPr>
          <w:rFonts w:ascii="Times New Roman" w:eastAsia="Times New Roman" w:hAnsi="Times New Roman"/>
          <w:i/>
          <w:sz w:val="24"/>
          <w:szCs w:val="24"/>
        </w:rPr>
      </w:pPr>
      <w:r w:rsidRPr="000A42F6">
        <w:rPr>
          <w:rFonts w:ascii="Times New Roman" w:hAnsi="Times New Roman"/>
          <w:noProof/>
        </w:rPr>
        <w:drawing>
          <wp:inline distT="0" distB="0" distL="0" distR="0" wp14:anchorId="55EE5E5E" wp14:editId="34A71B9C">
            <wp:extent cx="6246045" cy="1381125"/>
            <wp:effectExtent l="0" t="0" r="2540" b="0"/>
            <wp:docPr id="6748538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839" cy="138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818A8" w14:textId="77777777" w:rsidR="00900079" w:rsidRPr="000A42F6" w:rsidRDefault="00900079" w:rsidP="00900079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highlight w:val="magenta"/>
        </w:rPr>
      </w:pPr>
    </w:p>
    <w:p w14:paraId="0DF6C9F7" w14:textId="77777777" w:rsidR="00900079" w:rsidRPr="000A42F6" w:rsidRDefault="00900079" w:rsidP="00900079">
      <w:pPr>
        <w:spacing w:line="240" w:lineRule="auto"/>
        <w:contextualSpacing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4FAEAF8B" w14:textId="77777777" w:rsidR="00900079" w:rsidRPr="000A42F6" w:rsidRDefault="00900079" w:rsidP="00900079">
      <w:pPr>
        <w:spacing w:line="240" w:lineRule="auto"/>
        <w:contextualSpacing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4C93C9A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079"/>
    <w:rsid w:val="00755780"/>
    <w:rsid w:val="00857596"/>
    <w:rsid w:val="0090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911AE"/>
  <w15:chartTrackingRefBased/>
  <w15:docId w15:val="{8EFDFE4D-29D4-427D-AA39-77F09C8E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079"/>
    <w:rPr>
      <w:rFonts w:ascii="Calibri" w:eastAsia="Calibri" w:hAnsi="Calibri" w:cs="Times New Roman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717</Words>
  <Characters>4088</Characters>
  <Application>Microsoft Office Word</Application>
  <DocSecurity>0</DocSecurity>
  <Lines>34</Lines>
  <Paragraphs>9</Paragraphs>
  <ScaleCrop>false</ScaleCrop>
  <Company>Springer Nature</Company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2024-01-19T04:30:00Z</dcterms:created>
  <dcterms:modified xsi:type="dcterms:W3CDTF">2024-01-19T04:39:00Z</dcterms:modified>
</cp:coreProperties>
</file>