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DF9CB" w14:textId="77777777" w:rsidR="00CC2D91" w:rsidRPr="00A774BC" w:rsidRDefault="00CC2D91" w:rsidP="00CC2D91">
      <w:pPr>
        <w:rPr>
          <w:rFonts w:ascii="Times New Roman" w:hAnsi="Times New Roman" w:cs="Times New Roman"/>
          <w:b/>
          <w:bCs/>
          <w:sz w:val="20"/>
          <w:szCs w:val="20"/>
        </w:rPr>
      </w:pPr>
      <w:bookmarkStart w:id="0" w:name="_Hlk147317193"/>
      <w:r>
        <w:rPr>
          <w:rFonts w:ascii="Times New Roman" w:hAnsi="Times New Roman" w:cs="Times New Roman"/>
          <w:b/>
          <w:bCs/>
          <w:sz w:val="20"/>
          <w:szCs w:val="20"/>
        </w:rPr>
        <w:t>Fig.</w:t>
      </w:r>
      <w:r w:rsidRPr="00A774BC">
        <w:rPr>
          <w:rFonts w:ascii="Times New Roman" w:hAnsi="Times New Roman" w:cs="Times New Roman"/>
          <w:b/>
          <w:bCs/>
          <w:sz w:val="20"/>
          <w:szCs w:val="20"/>
        </w:rPr>
        <w:t>S1. Differences in meningioma-cell senescence indicators.</w:t>
      </w:r>
    </w:p>
    <w:p w14:paraId="7974ECEF" w14:textId="77777777" w:rsidR="00CC2D91" w:rsidRPr="00A774BC" w:rsidRDefault="00CC2D91" w:rsidP="00CC2D91">
      <w:pPr>
        <w:rPr>
          <w:rFonts w:ascii="Times New Roman" w:hAnsi="Times New Roman" w:cs="Times New Roman"/>
          <w:sz w:val="20"/>
          <w:szCs w:val="20"/>
        </w:rPr>
      </w:pPr>
      <w:r w:rsidRPr="00A774BC">
        <w:rPr>
          <w:rFonts w:ascii="Times New Roman" w:hAnsi="Times New Roman" w:cs="Times New Roman"/>
          <w:b/>
          <w:bCs/>
          <w:sz w:val="20"/>
          <w:szCs w:val="20"/>
        </w:rPr>
        <w:t>(A).</w:t>
      </w:r>
      <w:r w:rsidRPr="00A774BC">
        <w:rPr>
          <w:sz w:val="20"/>
          <w:szCs w:val="20"/>
        </w:rPr>
        <w:t xml:space="preserve"> </w:t>
      </w:r>
      <w:r w:rsidRPr="00A774BC">
        <w:rPr>
          <w:rFonts w:ascii="Times New Roman" w:hAnsi="Times New Roman" w:cs="Times New Roman"/>
          <w:sz w:val="20"/>
          <w:szCs w:val="20"/>
        </w:rPr>
        <w:t>The expression of CDKN2A protein in the recurrent group was significantly higher than that in the non-recurrent group, p&lt;0.05.</w:t>
      </w:r>
      <w:r w:rsidRPr="00A774BC">
        <w:rPr>
          <w:sz w:val="20"/>
          <w:szCs w:val="20"/>
        </w:rPr>
        <w:t xml:space="preserve"> </w:t>
      </w:r>
      <w:r w:rsidRPr="00A774BC">
        <w:rPr>
          <w:rFonts w:ascii="Times New Roman" w:hAnsi="Times New Roman" w:cs="Times New Roman"/>
          <w:b/>
          <w:bCs/>
          <w:sz w:val="20"/>
          <w:szCs w:val="20"/>
        </w:rPr>
        <w:t>(B).</w:t>
      </w:r>
      <w:r w:rsidRPr="00A774BC">
        <w:rPr>
          <w:sz w:val="20"/>
          <w:szCs w:val="20"/>
        </w:rPr>
        <w:t xml:space="preserve"> </w:t>
      </w:r>
      <w:r w:rsidRPr="00A774BC">
        <w:rPr>
          <w:rFonts w:ascii="Times New Roman" w:hAnsi="Times New Roman" w:cs="Times New Roman"/>
          <w:sz w:val="20"/>
          <w:szCs w:val="20"/>
        </w:rPr>
        <w:t>Differentially expressed cell senescence-related genes and SASP clustering plots;</w:t>
      </w:r>
      <w:r w:rsidRPr="00A774BC">
        <w:rPr>
          <w:rFonts w:ascii="Times New Roman" w:hAnsi="Times New Roman" w:cs="Times New Roman"/>
          <w:b/>
          <w:bCs/>
          <w:sz w:val="20"/>
          <w:szCs w:val="20"/>
        </w:rPr>
        <w:t xml:space="preserve"> (C).</w:t>
      </w:r>
      <w:r w:rsidRPr="00A774BC">
        <w:rPr>
          <w:sz w:val="20"/>
          <w:szCs w:val="20"/>
        </w:rPr>
        <w:t xml:space="preserve"> </w:t>
      </w:r>
      <w:r w:rsidRPr="00A774BC">
        <w:rPr>
          <w:rFonts w:ascii="Times New Roman" w:hAnsi="Times New Roman" w:cs="Times New Roman"/>
          <w:sz w:val="20"/>
          <w:szCs w:val="20"/>
        </w:rPr>
        <w:t xml:space="preserve">Compared with the healthy control group, the expression of SASP in the tumor group was significantly increased. Tumor group was colored in red, and healthy control was colored in blue. </w:t>
      </w:r>
      <w:r w:rsidRPr="00A774BC">
        <w:rPr>
          <w:rFonts w:ascii="Times New Roman" w:hAnsi="Times New Roman" w:cs="Times New Roman"/>
          <w:b/>
          <w:bCs/>
          <w:sz w:val="20"/>
          <w:szCs w:val="20"/>
        </w:rPr>
        <w:t xml:space="preserve">(D). </w:t>
      </w:r>
      <w:r w:rsidRPr="00A774BC">
        <w:rPr>
          <w:rFonts w:ascii="Times New Roman" w:hAnsi="Times New Roman" w:cs="Times New Roman"/>
          <w:sz w:val="20"/>
          <w:szCs w:val="20"/>
        </w:rPr>
        <w:t>Important SASP gene MMP1, CXCL5 and SERPINE1, were expressed in higher amounts with increasing levels.</w:t>
      </w:r>
    </w:p>
    <w:p w14:paraId="15B28756" w14:textId="77777777" w:rsidR="00CC2D91" w:rsidRPr="00A774BC" w:rsidRDefault="00CC2D91" w:rsidP="00CC2D91">
      <w:pPr>
        <w:rPr>
          <w:rFonts w:ascii="Times New Roman" w:hAnsi="Times New Roman" w:cs="Times New Roman"/>
          <w:b/>
          <w:bCs/>
          <w:sz w:val="20"/>
          <w:szCs w:val="20"/>
        </w:rPr>
      </w:pPr>
      <w:bookmarkStart w:id="1" w:name="_Hlk147317208"/>
      <w:bookmarkEnd w:id="0"/>
      <w:r>
        <w:rPr>
          <w:rFonts w:ascii="Times New Roman" w:hAnsi="Times New Roman" w:cs="Times New Roman"/>
          <w:b/>
          <w:bCs/>
          <w:sz w:val="20"/>
          <w:szCs w:val="20"/>
        </w:rPr>
        <w:t>Fig.</w:t>
      </w:r>
      <w:r w:rsidRPr="00A774BC">
        <w:rPr>
          <w:rFonts w:ascii="Times New Roman" w:hAnsi="Times New Roman" w:cs="Times New Roman" w:hint="eastAsia"/>
          <w:b/>
          <w:bCs/>
          <w:sz w:val="20"/>
          <w:szCs w:val="20"/>
        </w:rPr>
        <w:t>S</w:t>
      </w:r>
      <w:r w:rsidRPr="00A774BC">
        <w:rPr>
          <w:rFonts w:ascii="Times New Roman" w:hAnsi="Times New Roman" w:cs="Times New Roman"/>
          <w:b/>
          <w:bCs/>
          <w:sz w:val="20"/>
          <w:szCs w:val="20"/>
        </w:rPr>
        <w:t xml:space="preserve">2. Single-cell data quality control. </w:t>
      </w:r>
    </w:p>
    <w:p w14:paraId="7CFEA11D" w14:textId="77777777" w:rsidR="00CC2D91" w:rsidRPr="00A774BC" w:rsidRDefault="00CC2D91" w:rsidP="00CC2D91">
      <w:pPr>
        <w:rPr>
          <w:rFonts w:ascii="Times New Roman" w:hAnsi="Times New Roman" w:cs="Times New Roman"/>
          <w:sz w:val="20"/>
          <w:szCs w:val="20"/>
        </w:rPr>
      </w:pPr>
      <w:r w:rsidRPr="00A774BC">
        <w:rPr>
          <w:rFonts w:ascii="Times New Roman" w:hAnsi="Times New Roman" w:cs="Times New Roman"/>
          <w:b/>
          <w:bCs/>
          <w:sz w:val="20"/>
          <w:szCs w:val="20"/>
        </w:rPr>
        <w:t xml:space="preserve">(A). </w:t>
      </w:r>
      <w:r w:rsidRPr="00A774BC">
        <w:rPr>
          <w:rFonts w:ascii="Times New Roman" w:hAnsi="Times New Roman" w:cs="Times New Roman"/>
          <w:sz w:val="20"/>
          <w:szCs w:val="20"/>
        </w:rPr>
        <w:t xml:space="preserve">Histogram of mitochondrial gene distribution in MSC2 samples and data characteristics of MSC2 samples; </w:t>
      </w:r>
      <w:r w:rsidRPr="00A774BC">
        <w:rPr>
          <w:rFonts w:ascii="Times New Roman" w:hAnsi="Times New Roman" w:cs="Times New Roman"/>
          <w:b/>
          <w:bCs/>
          <w:sz w:val="20"/>
          <w:szCs w:val="20"/>
        </w:rPr>
        <w:t>(B)</w:t>
      </w:r>
      <w:r w:rsidRPr="00A774BC">
        <w:rPr>
          <w:rFonts w:ascii="Times New Roman" w:hAnsi="Times New Roman" w:cs="Times New Roman"/>
          <w:sz w:val="20"/>
          <w:szCs w:val="20"/>
        </w:rPr>
        <w:t>. Cell share of each cluster subpopulation in each sample.</w:t>
      </w:r>
      <w:r w:rsidRPr="00A774BC">
        <w:rPr>
          <w:rFonts w:ascii="Times New Roman" w:hAnsi="Times New Roman" w:cs="Times New Roman"/>
          <w:b/>
          <w:bCs/>
          <w:sz w:val="20"/>
          <w:szCs w:val="20"/>
        </w:rPr>
        <w:t xml:space="preserve"> (C-E).</w:t>
      </w:r>
      <w:r w:rsidRPr="00A774BC">
        <w:rPr>
          <w:sz w:val="20"/>
          <w:szCs w:val="20"/>
        </w:rPr>
        <w:t xml:space="preserve"> </w:t>
      </w:r>
      <w:r w:rsidRPr="00A774BC">
        <w:rPr>
          <w:rFonts w:ascii="Times New Roman" w:hAnsi="Times New Roman" w:cs="Times New Roman"/>
          <w:sz w:val="20"/>
          <w:szCs w:val="20"/>
        </w:rPr>
        <w:t>Violin diagrams of characteristic genes of each subgroup are displayed.</w:t>
      </w:r>
    </w:p>
    <w:p w14:paraId="4F77E28D" w14:textId="77777777" w:rsidR="00CC2D91" w:rsidRPr="00A774BC" w:rsidRDefault="00CC2D91" w:rsidP="00CC2D91">
      <w:pPr>
        <w:rPr>
          <w:rFonts w:ascii="Times New Roman" w:hAnsi="Times New Roman" w:cs="Times New Roman"/>
          <w:b/>
          <w:bCs/>
          <w:sz w:val="20"/>
          <w:szCs w:val="20"/>
        </w:rPr>
      </w:pPr>
      <w:bookmarkStart w:id="2" w:name="_Hlk147317225"/>
      <w:bookmarkEnd w:id="1"/>
      <w:r>
        <w:rPr>
          <w:rFonts w:ascii="Times New Roman" w:hAnsi="Times New Roman" w:cs="Times New Roman"/>
          <w:b/>
          <w:bCs/>
          <w:sz w:val="20"/>
          <w:szCs w:val="20"/>
        </w:rPr>
        <w:t>Fig.</w:t>
      </w:r>
      <w:r w:rsidRPr="00A774BC">
        <w:rPr>
          <w:rFonts w:ascii="Times New Roman" w:hAnsi="Times New Roman" w:cs="Times New Roman" w:hint="eastAsia"/>
          <w:b/>
          <w:bCs/>
          <w:sz w:val="20"/>
          <w:szCs w:val="20"/>
        </w:rPr>
        <w:t>S</w:t>
      </w:r>
      <w:r w:rsidRPr="00A774BC">
        <w:rPr>
          <w:rFonts w:ascii="Times New Roman" w:hAnsi="Times New Roman" w:cs="Times New Roman"/>
          <w:b/>
          <w:bCs/>
          <w:sz w:val="20"/>
          <w:szCs w:val="20"/>
        </w:rPr>
        <w:t>3.</w:t>
      </w:r>
      <w:r w:rsidRPr="00A774BC">
        <w:rPr>
          <w:sz w:val="20"/>
          <w:szCs w:val="20"/>
        </w:rPr>
        <w:t xml:space="preserve"> </w:t>
      </w:r>
      <w:r w:rsidRPr="00A774BC">
        <w:rPr>
          <w:rFonts w:ascii="Times New Roman" w:hAnsi="Times New Roman" w:cs="Times New Roman"/>
          <w:b/>
          <w:bCs/>
          <w:sz w:val="20"/>
          <w:szCs w:val="20"/>
        </w:rPr>
        <w:t xml:space="preserve">New grouping and WGCNA analysis. </w:t>
      </w:r>
    </w:p>
    <w:p w14:paraId="453B0F5E" w14:textId="77777777" w:rsidR="00CC2D91" w:rsidRPr="00A774BC" w:rsidRDefault="00CC2D91" w:rsidP="00CC2D91">
      <w:pPr>
        <w:rPr>
          <w:rFonts w:ascii="Times New Roman" w:hAnsi="Times New Roman" w:cs="Times New Roman"/>
          <w:sz w:val="20"/>
          <w:szCs w:val="20"/>
        </w:rPr>
      </w:pPr>
      <w:r w:rsidRPr="00A774BC">
        <w:rPr>
          <w:rFonts w:ascii="Times New Roman" w:hAnsi="Times New Roman" w:cs="Times New Roman"/>
          <w:b/>
          <w:bCs/>
          <w:sz w:val="20"/>
          <w:szCs w:val="20"/>
        </w:rPr>
        <w:t>(A).</w:t>
      </w:r>
      <w:r w:rsidRPr="00A774BC">
        <w:rPr>
          <w:rFonts w:ascii="Times New Roman" w:hAnsi="Times New Roman" w:cs="Times New Roman"/>
          <w:sz w:val="20"/>
          <w:szCs w:val="20"/>
        </w:rPr>
        <w:t xml:space="preserve"> The ROC curve of tertiary meningioma was diagnosed by using the cell aging index, and the samples were divided into CS high expression group and CS low expression group with the optimal cutoff value, combined with the WHO tumor grade, MKI67 expression between the groups; </w:t>
      </w:r>
      <w:r w:rsidRPr="00A774BC">
        <w:rPr>
          <w:rFonts w:ascii="Times New Roman" w:hAnsi="Times New Roman" w:cs="Times New Roman"/>
          <w:b/>
          <w:bCs/>
          <w:sz w:val="20"/>
          <w:szCs w:val="20"/>
        </w:rPr>
        <w:t>(B)</w:t>
      </w:r>
      <w:r w:rsidRPr="00A774BC">
        <w:rPr>
          <w:rFonts w:ascii="Times New Roman" w:hAnsi="Times New Roman" w:cs="Times New Roman"/>
          <w:sz w:val="20"/>
          <w:szCs w:val="20"/>
        </w:rPr>
        <w:t xml:space="preserve">. Outliers were found and eliminated through sample clustering; </w:t>
      </w:r>
      <w:r w:rsidRPr="00A774BC">
        <w:rPr>
          <w:rFonts w:ascii="Times New Roman" w:hAnsi="Times New Roman" w:cs="Times New Roman"/>
          <w:b/>
          <w:bCs/>
          <w:sz w:val="20"/>
          <w:szCs w:val="20"/>
        </w:rPr>
        <w:t>(C).</w:t>
      </w:r>
      <w:r w:rsidRPr="00A774BC">
        <w:rPr>
          <w:rFonts w:ascii="Times New Roman" w:hAnsi="Times New Roman" w:cs="Times New Roman"/>
          <w:sz w:val="20"/>
          <w:szCs w:val="20"/>
        </w:rPr>
        <w:t xml:space="preserve"> Analysis of network topology for various soft-thresholding powers. The left panel shows the scale-free fit index (y-axis) as a function of the soft-thresholding power (x-axis). The right panel displays the mean connectivity (degree, y-axis) as a function of the soft-thresholding power (x-axis). (D). Correlation heat map between different modules and traits.</w:t>
      </w:r>
    </w:p>
    <w:p w14:paraId="05C96251" w14:textId="77777777" w:rsidR="00CC2D91" w:rsidRPr="00A774BC" w:rsidRDefault="00CC2D91" w:rsidP="00CC2D91">
      <w:pPr>
        <w:rPr>
          <w:rFonts w:ascii="Times New Roman" w:hAnsi="Times New Roman" w:cs="Times New Roman"/>
          <w:sz w:val="20"/>
          <w:szCs w:val="20"/>
        </w:rPr>
      </w:pPr>
      <w:bookmarkStart w:id="3" w:name="_Hlk147317259"/>
      <w:bookmarkEnd w:id="2"/>
      <w:r>
        <w:rPr>
          <w:rFonts w:ascii="Times New Roman" w:hAnsi="Times New Roman" w:cs="Times New Roman"/>
          <w:b/>
          <w:bCs/>
          <w:sz w:val="20"/>
          <w:szCs w:val="20"/>
        </w:rPr>
        <w:t>Fig.</w:t>
      </w:r>
      <w:r w:rsidRPr="00A774BC">
        <w:rPr>
          <w:rFonts w:ascii="Times New Roman" w:hAnsi="Times New Roman" w:cs="Times New Roman"/>
          <w:b/>
          <w:bCs/>
          <w:sz w:val="20"/>
          <w:szCs w:val="20"/>
        </w:rPr>
        <w:t>S4. Hub genes expression in meningioma.</w:t>
      </w:r>
      <w:r w:rsidRPr="00A774BC">
        <w:rPr>
          <w:rFonts w:ascii="Times New Roman" w:hAnsi="Times New Roman" w:cs="Times New Roman"/>
          <w:sz w:val="20"/>
          <w:szCs w:val="20"/>
        </w:rPr>
        <w:t xml:space="preserve"> </w:t>
      </w:r>
      <w:r w:rsidRPr="00A774BC">
        <w:rPr>
          <w:rFonts w:ascii="Times New Roman" w:hAnsi="Times New Roman" w:cs="Times New Roman"/>
          <w:b/>
          <w:bCs/>
          <w:sz w:val="20"/>
          <w:szCs w:val="20"/>
        </w:rPr>
        <w:t>(A).</w:t>
      </w:r>
      <w:r w:rsidRPr="00A774BC">
        <w:rPr>
          <w:rFonts w:ascii="Times New Roman" w:hAnsi="Times New Roman" w:cs="Times New Roman"/>
          <w:sz w:val="20"/>
          <w:szCs w:val="20"/>
        </w:rPr>
        <w:t xml:space="preserve"> TBL3 expression in recurrent meningiomas is significantly higher (p = 0.04) (Fig S4A). </w:t>
      </w:r>
      <w:r w:rsidRPr="00A774BC">
        <w:rPr>
          <w:rFonts w:ascii="Times New Roman" w:hAnsi="Times New Roman" w:cs="Times New Roman"/>
          <w:b/>
          <w:bCs/>
          <w:sz w:val="20"/>
          <w:szCs w:val="20"/>
        </w:rPr>
        <w:t>(B)</w:t>
      </w:r>
      <w:r w:rsidRPr="00A774BC">
        <w:rPr>
          <w:rFonts w:ascii="Times New Roman" w:hAnsi="Times New Roman" w:cs="Times New Roman"/>
          <w:sz w:val="20"/>
          <w:szCs w:val="20"/>
        </w:rPr>
        <w:t xml:space="preserve">. Expression of both the two genes TBL3 and KIF4 were positive correlated with MKI67 of meningioma (R </w:t>
      </w:r>
      <w:r w:rsidRPr="00A774BC">
        <w:rPr>
          <w:rFonts w:ascii="Times New Roman" w:hAnsi="Times New Roman" w:cs="Times New Roman"/>
          <w:sz w:val="20"/>
          <w:szCs w:val="20"/>
          <w:vertAlign w:val="superscript"/>
        </w:rPr>
        <w:t>TBL3</w:t>
      </w:r>
      <w:r w:rsidRPr="00A774BC">
        <w:rPr>
          <w:rFonts w:ascii="Times New Roman" w:hAnsi="Times New Roman" w:cs="Times New Roman"/>
          <w:sz w:val="20"/>
          <w:szCs w:val="20"/>
        </w:rPr>
        <w:t xml:space="preserve"> = 0.17, p = 0.021; R </w:t>
      </w:r>
      <w:r w:rsidRPr="00A774BC">
        <w:rPr>
          <w:rFonts w:ascii="Times New Roman" w:hAnsi="Times New Roman" w:cs="Times New Roman"/>
          <w:sz w:val="20"/>
          <w:szCs w:val="20"/>
          <w:vertAlign w:val="superscript"/>
        </w:rPr>
        <w:t>KIF4</w:t>
      </w:r>
      <w:r w:rsidRPr="00A774BC">
        <w:rPr>
          <w:rFonts w:ascii="Times New Roman" w:hAnsi="Times New Roman" w:cs="Times New Roman"/>
          <w:sz w:val="20"/>
          <w:szCs w:val="20"/>
        </w:rPr>
        <w:t xml:space="preserve"> = 0.92, p = 2.2 × 10 </w:t>
      </w:r>
      <w:r w:rsidRPr="00A774BC">
        <w:rPr>
          <w:rFonts w:ascii="Times New Roman" w:hAnsi="Times New Roman" w:cs="Times New Roman"/>
          <w:sz w:val="20"/>
          <w:szCs w:val="20"/>
          <w:vertAlign w:val="superscript"/>
        </w:rPr>
        <w:t>-16</w:t>
      </w:r>
      <w:r w:rsidRPr="00A774BC">
        <w:rPr>
          <w:rFonts w:ascii="Times New Roman" w:hAnsi="Times New Roman" w:cs="Times New Roman"/>
          <w:sz w:val="20"/>
          <w:szCs w:val="20"/>
        </w:rPr>
        <w:t>;).</w:t>
      </w:r>
    </w:p>
    <w:p w14:paraId="19CD76C0" w14:textId="77777777" w:rsidR="00CC2D91" w:rsidRPr="00A774BC" w:rsidRDefault="00CC2D91" w:rsidP="00CC2D91">
      <w:pPr>
        <w:rPr>
          <w:rFonts w:ascii="Times New Roman" w:hAnsi="Times New Roman" w:cs="Times New Roman"/>
          <w:sz w:val="20"/>
          <w:szCs w:val="20"/>
        </w:rPr>
      </w:pPr>
      <w:bookmarkStart w:id="4" w:name="_Hlk147317282"/>
      <w:bookmarkEnd w:id="3"/>
      <w:r>
        <w:rPr>
          <w:rFonts w:ascii="Times New Roman" w:hAnsi="Times New Roman" w:cs="Times New Roman"/>
          <w:b/>
          <w:bCs/>
          <w:sz w:val="20"/>
          <w:szCs w:val="20"/>
        </w:rPr>
        <w:t>Fig.</w:t>
      </w:r>
      <w:r w:rsidRPr="00A774BC">
        <w:rPr>
          <w:rFonts w:ascii="Times New Roman" w:hAnsi="Times New Roman" w:cs="Times New Roman"/>
          <w:b/>
          <w:bCs/>
          <w:sz w:val="20"/>
          <w:szCs w:val="20"/>
        </w:rPr>
        <w:t xml:space="preserve">S5. </w:t>
      </w:r>
      <w:r w:rsidRPr="00A774BC">
        <w:rPr>
          <w:rFonts w:ascii="Times New Roman" w:hAnsi="Times New Roman" w:cs="Times New Roman"/>
          <w:sz w:val="20"/>
          <w:szCs w:val="20"/>
        </w:rPr>
        <w:t xml:space="preserve">The correlation between the therapeutic agents targeted genes and CS score, as well as expression of TBL3. </w:t>
      </w:r>
    </w:p>
    <w:bookmarkEnd w:id="4"/>
    <w:p w14:paraId="7A515580" w14:textId="77777777" w:rsidR="00CC2D91" w:rsidRPr="00A774BC" w:rsidRDefault="00CC2D91" w:rsidP="00CC2D91">
      <w:pPr>
        <w:rPr>
          <w:rFonts w:ascii="Times New Roman" w:hAnsi="Times New Roman" w:cs="Times New Roman"/>
          <w:sz w:val="20"/>
          <w:szCs w:val="20"/>
        </w:rPr>
      </w:pPr>
      <w:r w:rsidRPr="00A774BC">
        <w:rPr>
          <w:rFonts w:ascii="Times New Roman" w:hAnsi="Times New Roman" w:cs="Times New Roman"/>
          <w:b/>
          <w:bCs/>
          <w:sz w:val="20"/>
          <w:szCs w:val="20"/>
        </w:rPr>
        <w:t xml:space="preserve">Table S1. </w:t>
      </w:r>
      <w:r w:rsidRPr="00A774BC">
        <w:rPr>
          <w:rFonts w:ascii="Times New Roman" w:hAnsi="Times New Roman" w:cs="Times New Roman"/>
          <w:sz w:val="20"/>
          <w:szCs w:val="20"/>
        </w:rPr>
        <w:t>Datasets in GEO database used in this research were collected as table s1.</w:t>
      </w:r>
    </w:p>
    <w:p w14:paraId="1D4A00B8" w14:textId="77777777" w:rsidR="00CC2D91" w:rsidRPr="00A774BC" w:rsidRDefault="00CC2D91" w:rsidP="00CC2D91">
      <w:pPr>
        <w:rPr>
          <w:rFonts w:ascii="Times New Roman" w:hAnsi="Times New Roman" w:cs="Times New Roman"/>
          <w:sz w:val="20"/>
          <w:szCs w:val="20"/>
        </w:rPr>
      </w:pPr>
      <w:r w:rsidRPr="00A774BC">
        <w:rPr>
          <w:rFonts w:ascii="Times New Roman" w:hAnsi="Times New Roman" w:cs="Times New Roman"/>
          <w:b/>
          <w:bCs/>
          <w:sz w:val="20"/>
          <w:szCs w:val="20"/>
        </w:rPr>
        <w:t xml:space="preserve">Table S2. </w:t>
      </w:r>
      <w:r w:rsidRPr="00A774BC">
        <w:rPr>
          <w:rFonts w:ascii="Times New Roman" w:hAnsi="Times New Roman" w:cs="Times New Roman"/>
          <w:sz w:val="20"/>
          <w:szCs w:val="20"/>
        </w:rPr>
        <w:t>A list of cell senescence genes and SASP genes associated with recurrence. Cell senescence and SASP gene expression were grouped by median survival curve, and the above figure is a list of genes with p&lt;0.05.</w:t>
      </w:r>
    </w:p>
    <w:p w14:paraId="3B0A5801" w14:textId="77777777" w:rsidR="00CC2D91" w:rsidRPr="00A774BC" w:rsidRDefault="00CC2D91" w:rsidP="00CC2D91">
      <w:pPr>
        <w:rPr>
          <w:rFonts w:ascii="Times New Roman" w:hAnsi="Times New Roman" w:cs="Times New Roman"/>
          <w:sz w:val="20"/>
          <w:szCs w:val="20"/>
        </w:rPr>
      </w:pPr>
      <w:r w:rsidRPr="00A774BC">
        <w:rPr>
          <w:rFonts w:ascii="Times New Roman" w:hAnsi="Times New Roman" w:cs="Times New Roman"/>
          <w:b/>
          <w:bCs/>
          <w:sz w:val="20"/>
          <w:szCs w:val="20"/>
        </w:rPr>
        <w:t>Table S3.</w:t>
      </w:r>
      <w:r w:rsidRPr="00A774BC">
        <w:rPr>
          <w:rFonts w:ascii="Times New Roman" w:hAnsi="Times New Roman" w:cs="Times New Roman"/>
          <w:sz w:val="20"/>
          <w:szCs w:val="20"/>
        </w:rPr>
        <w:t xml:space="preserve"> A list of potential drugs screened out by the RNAactDrug website.</w:t>
      </w:r>
    </w:p>
    <w:p w14:paraId="49D6E54D" w14:textId="77777777" w:rsidR="00833D74" w:rsidRDefault="00833D74"/>
    <w:sectPr w:rsidR="00833D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D91"/>
    <w:rsid w:val="00014241"/>
    <w:rsid w:val="001942F0"/>
    <w:rsid w:val="002C0857"/>
    <w:rsid w:val="003F01F8"/>
    <w:rsid w:val="00833D74"/>
    <w:rsid w:val="00884728"/>
    <w:rsid w:val="00886D84"/>
    <w:rsid w:val="008E2845"/>
    <w:rsid w:val="00CC2D91"/>
    <w:rsid w:val="00D00B5E"/>
    <w:rsid w:val="00F07CF1"/>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664FE"/>
  <w15:chartTrackingRefBased/>
  <w15:docId w15:val="{0EBCF3B0-0470-4075-9DD4-E904B4F25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D91"/>
    <w:pPr>
      <w:widowControl w:val="0"/>
      <w:spacing w:after="0" w:line="240" w:lineRule="auto"/>
      <w:jc w:val="both"/>
    </w:pPr>
    <w:rPr>
      <w:rFonts w:eastAsiaTheme="minorEastAsia"/>
      <w:sz w:val="21"/>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7282573984804697957241A60C1D52" ma:contentTypeVersion="3" ma:contentTypeDescription="Create a new document." ma:contentTypeScope="" ma:versionID="8511d259bb8e7dae4125908ac258cd64">
  <xsd:schema xmlns:xsd="http://www.w3.org/2001/XMLSchema" xmlns:xs="http://www.w3.org/2001/XMLSchema" xmlns:p="http://schemas.microsoft.com/office/2006/metadata/properties" xmlns:ns3="9ee413a3-7d99-4592-b546-82d8fd7fda0f" targetNamespace="http://schemas.microsoft.com/office/2006/metadata/properties" ma:root="true" ma:fieldsID="de915eb4a8dbc9018a384c6049f7831d" ns3:_="">
    <xsd:import namespace="9ee413a3-7d99-4592-b546-82d8fd7fda0f"/>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413a3-7d99-4592-b546-82d8fd7fda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F8D754-E04C-4BAC-B661-62AF19FC4D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e413a3-7d99-4592-b546-82d8fd7fda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A3886B-23FD-444B-A7C1-AFF6AEC53B26}">
  <ds:schemaRefs>
    <ds:schemaRef ds:uri="http://schemas.microsoft.com/sharepoint/v3/contenttype/forms"/>
  </ds:schemaRefs>
</ds:datastoreItem>
</file>

<file path=customXml/itemProps3.xml><?xml version="1.0" encoding="utf-8"?>
<ds:datastoreItem xmlns:ds="http://schemas.openxmlformats.org/officeDocument/2006/customXml" ds:itemID="{764D23F4-7E77-4334-935B-7F398004A741}">
  <ds:schemaRefs>
    <ds:schemaRef ds:uri="http://purl.org/dc/dcmitype/"/>
    <ds:schemaRef ds:uri="http://schemas.microsoft.com/office/infopath/2007/PartnerControls"/>
    <ds:schemaRef ds:uri="http://schemas.microsoft.com/office/2006/documentManagement/types"/>
    <ds:schemaRef ds:uri="http://purl.org/dc/terms/"/>
    <ds:schemaRef ds:uri="http://schemas.microsoft.com/office/2006/metadata/properties"/>
    <ds:schemaRef ds:uri="http://purl.org/dc/elements/1.1/"/>
    <ds:schemaRef ds:uri="http://schemas.openxmlformats.org/package/2006/metadata/core-properties"/>
    <ds:schemaRef ds:uri="9ee413a3-7d99-4592-b546-82d8fd7fda0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360</Words>
  <Characters>2058</Characters>
  <Application>Microsoft Office Word</Application>
  <DocSecurity>0</DocSecurity>
  <Lines>17</Lines>
  <Paragraphs>4</Paragraphs>
  <ScaleCrop>false</ScaleCrop>
  <Company>Springer Nature</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2</cp:revision>
  <dcterms:created xsi:type="dcterms:W3CDTF">2024-01-19T15:30:00Z</dcterms:created>
  <dcterms:modified xsi:type="dcterms:W3CDTF">2024-01-19T15:30:00Z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0x010100517282573984804697957241A60C1D52</vt:lpwstr>
  </property>
</Properties>
</file>