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sz w:val="44"/>
          <w:szCs w:val="52"/>
        </w:rPr>
      </w:pPr>
      <w:r>
        <w:rPr>
          <w:rFonts w:ascii="Times New Roman" w:hAnsi="Times New Roman" w:cs="Times New Roman"/>
          <w:b/>
          <w:bCs/>
          <w:sz w:val="44"/>
          <w:szCs w:val="52"/>
        </w:rPr>
        <w:t xml:space="preserve">Additional file </w:t>
      </w:r>
      <w:r>
        <w:rPr>
          <w:rFonts w:hint="eastAsia" w:ascii="Times New Roman" w:hAnsi="Times New Roman" w:cs="Times New Roman"/>
          <w:b/>
          <w:bCs/>
          <w:sz w:val="44"/>
          <w:szCs w:val="52"/>
        </w:rPr>
        <w:t>2</w:t>
      </w:r>
    </w:p>
    <w:p>
      <w:pPr>
        <w:jc w:val="center"/>
        <w:rPr>
          <w:rFonts w:ascii="Times New Roman" w:hAnsi="Times New Roman" w:cs="Times New Roman"/>
          <w:b/>
          <w:bCs/>
          <w:sz w:val="44"/>
          <w:szCs w:val="52"/>
        </w:rPr>
      </w:pPr>
      <w:r>
        <w:rPr>
          <w:rFonts w:hint="eastAsia" w:ascii="Times New Roman" w:hAnsi="Times New Roman" w:cs="Times New Roman"/>
          <w:b/>
          <w:bCs/>
          <w:sz w:val="44"/>
          <w:szCs w:val="52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 w:val="44"/>
          <w:szCs w:val="52"/>
          <w:lang w:val="en-US" w:eastAsia="zh-CN"/>
        </w:rPr>
        <w:t>F</w:t>
      </w:r>
      <w:r>
        <w:rPr>
          <w:rFonts w:hint="eastAsia" w:ascii="Times New Roman" w:hAnsi="Times New Roman" w:cs="Times New Roman"/>
          <w:b/>
          <w:bCs/>
          <w:sz w:val="44"/>
          <w:szCs w:val="52"/>
        </w:rPr>
        <w:t>igures</w:t>
      </w:r>
    </w:p>
    <w:p>
      <w:pPr>
        <w:widowControl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drawing>
          <wp:inline distT="0" distB="0" distL="0" distR="0">
            <wp:extent cx="5274310" cy="2289810"/>
            <wp:effectExtent l="0" t="0" r="2540" b="0"/>
            <wp:docPr id="5817465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746545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qRT‒PCR analysis of</w:t>
      </w:r>
      <w:r>
        <w:rPr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LINC02747 mRNA expression after knockdown or overexpression of METTL14 in NSCLC cell lines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LINC02747 mRNA expression after knockdown of METTL14.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 </w:t>
      </w:r>
      <w:r>
        <w:rPr>
          <w:rFonts w:ascii="Times New Roman" w:hAnsi="Times New Roman" w:cs="Times New Roman"/>
          <w:sz w:val="24"/>
          <w:szCs w:val="24"/>
        </w:rPr>
        <w:t>LINC02747 mRNA expression after overexpression of METTL14. The values in A and B are expressed as the means ± SDs. ***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0.001.</w:t>
      </w:r>
    </w:p>
    <w:p>
      <w:pPr>
        <w:widowControl/>
        <w:spacing w:line="360" w:lineRule="auto"/>
        <w:rPr>
          <w:rFonts w:hint="eastAsia" w:ascii="Times New Roman" w:hAnsi="Times New Roman" w:cs="Times New Roman" w:eastAsiaTheme="minorEastAsia"/>
          <w:b/>
          <w:bCs/>
          <w:sz w:val="18"/>
          <w:szCs w:val="18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18"/>
          <w:szCs w:val="18"/>
          <w:lang w:eastAsia="zh-CN"/>
        </w:rPr>
        <w:drawing>
          <wp:inline distT="0" distB="0" distL="114300" distR="114300">
            <wp:extent cx="5269230" cy="4582160"/>
            <wp:effectExtent l="0" t="0" r="3810" b="5080"/>
            <wp:docPr id="1" name="图片 1" descr="新Fig.S2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新Fig.S2_画板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58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.S2 Knockdown of LINC02747 suppresses the malignant phenotype of NSCLC cells through the PI3K/Akt pathway.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RNA-seq data from the TCGA-LUAD and TCGA-LUSC cohorts were analysed for LINC02747 mRNA expression.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 </w:t>
      </w:r>
      <w:r>
        <w:rPr>
          <w:rFonts w:ascii="Times New Roman" w:hAnsi="Times New Roman"/>
          <w:sz w:val="24"/>
          <w:szCs w:val="24"/>
        </w:rPr>
        <w:t>Overall Survival</w:t>
      </w:r>
      <w:r>
        <w:rPr>
          <w:rFonts w:hint="eastAsia" w:ascii="Times New Roman" w:hAnsi="Times New Roman"/>
          <w:sz w:val="24"/>
          <w:szCs w:val="24"/>
        </w:rPr>
        <w:t xml:space="preserve"> and Disease Specific Survival</w:t>
      </w:r>
      <w:r>
        <w:rPr>
          <w:rFonts w:ascii="Times New Roman" w:hAnsi="Times New Roman"/>
          <w:sz w:val="24"/>
          <w:szCs w:val="24"/>
        </w:rPr>
        <w:t xml:space="preserve"> of LINC02747 in NSCLC Patients Analysed Based on TCGA-LUAD </w:t>
      </w:r>
      <w:r>
        <w:rPr>
          <w:rFonts w:hint="eastAsia" w:ascii="Times New Roman" w:hAnsi="Times New Roman"/>
          <w:sz w:val="24"/>
          <w:szCs w:val="24"/>
        </w:rPr>
        <w:t>and</w:t>
      </w:r>
      <w:r>
        <w:rPr>
          <w:rFonts w:ascii="Times New Roman" w:hAnsi="Times New Roman"/>
          <w:sz w:val="24"/>
          <w:szCs w:val="24"/>
        </w:rPr>
        <w:t xml:space="preserve"> TCGA-LUSC.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bCs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mRNA expression of LINC02747 in A549 and H460 cells relative to that in BEAS-2B cells was determined using qRT‒PCR.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Knockdown efficiency after transfection of si-LINC02747 in A549 and H460 </w:t>
      </w:r>
      <w:r>
        <w:rPr>
          <w:rFonts w:hint="eastAsia" w:ascii="Times New Roman" w:hAnsi="Times New Roman"/>
          <w:sz w:val="24"/>
          <w:szCs w:val="24"/>
        </w:rPr>
        <w:t>cells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bCs/>
          <w:sz w:val="24"/>
          <w:szCs w:val="24"/>
        </w:rPr>
        <w:t>E, F, H</w:t>
      </w:r>
      <w:r>
        <w:rPr>
          <w:rFonts w:ascii="Times New Roman" w:hAnsi="Times New Roman"/>
          <w:sz w:val="24"/>
          <w:szCs w:val="24"/>
        </w:rPr>
        <w:t xml:space="preserve"> CCK-8 (</w:t>
      </w:r>
      <w:r>
        <w:rPr>
          <w:rFonts w:hint="eastAsia"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), flow cytometry (</w:t>
      </w:r>
      <w:r>
        <w:rPr>
          <w:rFonts w:hint="eastAsia" w:ascii="Times New Roman" w:hAnsi="Times New Roman"/>
          <w:b/>
          <w:bCs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 and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transwell migration (</w:t>
      </w:r>
      <w:r>
        <w:rPr>
          <w:rFonts w:hint="eastAsia"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) assays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A549 and H460 cells transfected with si-LINC02747 or </w:t>
      </w:r>
      <w:r>
        <w:rPr>
          <w:rFonts w:hint="eastAsia" w:ascii="Times New Roman" w:hAnsi="Times New Roman"/>
          <w:sz w:val="24"/>
          <w:szCs w:val="24"/>
        </w:rPr>
        <w:t>si-NC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G </w:t>
      </w:r>
      <w:r>
        <w:rPr>
          <w:rFonts w:hint="eastAsia" w:ascii="Times New Roman" w:hAnsi="Times New Roman"/>
          <w:sz w:val="24"/>
          <w:szCs w:val="24"/>
        </w:rPr>
        <w:t>Histograms for cell cycle analysis.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0" w:name="OLE_LINK4"/>
      <w:r>
        <w:rPr>
          <w:rFonts w:ascii="Times New Roman" w:hAnsi="Times New Roman" w:cs="Times New Roman"/>
          <w:sz w:val="24"/>
          <w:szCs w:val="24"/>
        </w:rPr>
        <w:t xml:space="preserve">Western blot analysis of the effect of LINC02747 on the PI3K/Akt pathway. The values in A, E, F, G, H, I, and J are expressed as the means ± SDs. *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0.05; **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0.01; ***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textAlignment w:val="auto"/>
        <w:rPr>
          <w:rFonts w:ascii="Times New Roman" w:hAnsi="Times New Roman" w:cs="Times New Roman"/>
          <w:sz w:val="18"/>
          <w:szCs w:val="18"/>
        </w:rPr>
      </w:pPr>
    </w:p>
    <w:bookmarkEnd w:id="0"/>
    <w:p>
      <w:pPr>
        <w:widowControl/>
        <w:spacing w:line="360" w:lineRule="auto"/>
        <w:rPr>
          <w:rFonts w:hint="eastAsia" w:ascii="Times New Roman" w:hAnsi="Times New Roman" w:cs="Times New Roman" w:eastAsiaTheme="minorEastAsia"/>
          <w:sz w:val="18"/>
          <w:szCs w:val="18"/>
          <w:lang w:eastAsia="zh-CN"/>
        </w:rPr>
      </w:pPr>
      <w:r>
        <w:rPr>
          <w:rFonts w:hint="eastAsia" w:ascii="Times New Roman" w:hAnsi="Times New Roman" w:cs="Times New Roman" w:eastAsiaTheme="minorEastAsia"/>
          <w:sz w:val="18"/>
          <w:szCs w:val="18"/>
          <w:lang w:eastAsia="zh-CN"/>
        </w:rPr>
        <w:drawing>
          <wp:inline distT="0" distB="0" distL="114300" distR="114300">
            <wp:extent cx="5268595" cy="2713355"/>
            <wp:effectExtent l="0" t="0" r="4445" b="14605"/>
            <wp:docPr id="4" name="图片 4" descr="新figS3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新figS3_画板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S3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Downregulation of LINC02747 expression abrogates the promotion of the malignant phenotype in H460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cells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by METTL14 knockdown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 </w:t>
      </w:r>
      <w:r>
        <w:rPr>
          <w:rFonts w:ascii="Times New Roman" w:hAnsi="Times New Roman" w:cs="Times New Roman"/>
          <w:sz w:val="24"/>
          <w:szCs w:val="24"/>
        </w:rPr>
        <w:t>CCK-8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), flow cytometry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and Transwell migration 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) assays for METTL14 and LINC02747 rescue analysis </w:t>
      </w:r>
      <w:r>
        <w:rPr>
          <w:rFonts w:hint="eastAsia"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H460 </w:t>
      </w:r>
      <w:r>
        <w:rPr>
          <w:rFonts w:hint="eastAsia" w:ascii="Times New Roman" w:hAnsi="Times New Roman" w:cs="Times New Roman"/>
          <w:sz w:val="24"/>
          <w:szCs w:val="24"/>
        </w:rPr>
        <w:t>cells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 </w:t>
      </w:r>
      <w:r>
        <w:rPr>
          <w:rFonts w:ascii="Times New Roman" w:hAnsi="Times New Roman" w:cs="Times New Roman"/>
          <w:sz w:val="24"/>
          <w:szCs w:val="24"/>
        </w:rPr>
        <w:t xml:space="preserve">Western blot detection of CDK4 and Cyclin D1 protein expression in rescue experiments. The values in A, B, and D are expressed as the means ± SDs. *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0.05; **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0.01; ***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0.001.</w:t>
      </w:r>
    </w:p>
    <w:p>
      <w:pPr>
        <w:widowControl/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drawing>
          <wp:inline distT="0" distB="0" distL="0" distR="0">
            <wp:extent cx="5274310" cy="4739005"/>
            <wp:effectExtent l="0" t="0" r="2540" b="4445"/>
            <wp:docPr id="2614113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41138" name="图片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3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YTHDC2 is negatively correlated with LINC02747 and positively correlated with METTL14.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Knockdown efficiency after transfection of si-YTHDC2, </w:t>
      </w:r>
      <w:r>
        <w:rPr>
          <w:rFonts w:hint="eastAsia" w:ascii="Times New Roman" w:hAnsi="Times New Roman" w:cs="Times New Roman"/>
          <w:sz w:val="24"/>
          <w:szCs w:val="24"/>
        </w:rPr>
        <w:t>si-IGF2BP2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si-IGF2BP</w:t>
      </w:r>
      <w:r>
        <w:rPr>
          <w:rFonts w:ascii="Times New Roman" w:hAnsi="Times New Roman" w:cs="Times New Roman"/>
          <w:sz w:val="24"/>
          <w:szCs w:val="24"/>
        </w:rPr>
        <w:t xml:space="preserve">3 in A549 and H460 </w:t>
      </w:r>
      <w:r>
        <w:rPr>
          <w:rFonts w:hint="eastAsia" w:ascii="Times New Roman" w:hAnsi="Times New Roman" w:cs="Times New Roman"/>
          <w:sz w:val="24"/>
          <w:szCs w:val="24"/>
        </w:rPr>
        <w:t>cells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RNA-seq data from the TCGA-LUAD and TCGA-LUSC cohorts were analysed for YTHDC2 mRNA expression levels.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YTHDC2 mRNA expression levels in 15 NSCLC tissues and matched paraneoplastic tissues determined via qRT‒PCR.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 </w:t>
      </w:r>
      <w:r>
        <w:rPr>
          <w:rFonts w:ascii="Times New Roman" w:hAnsi="Times New Roman" w:cs="Times New Roman"/>
          <w:sz w:val="24"/>
          <w:szCs w:val="24"/>
        </w:rPr>
        <w:t xml:space="preserve">Our cohort analysis of the correlation between YTHDC2 and LINC02747.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GEPIA database analysis of the correlation between METTL14 and YTHDC2 </w:t>
      </w:r>
      <w:r>
        <w:rPr>
          <w:rFonts w:hint="eastAsia"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NSCLC.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qRT‒PCR analysis of YTHDC2 mRNA expression after overexpression of METTL14 in A549 and H460 cells. The values in A, C</w:t>
      </w:r>
      <w:r>
        <w:rPr>
          <w:rFonts w:hint="eastAsia"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F are expressed as the means ± SDs. 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0.05; ***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274310" cy="4728845"/>
            <wp:effectExtent l="0" t="0" r="2540" b="0"/>
            <wp:docPr id="105683473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834730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2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r>
        <w:rPr>
          <w:rFonts w:hint="eastAsia"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 S5 KDM5B expression is upregulated in NSCLC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The expression of different histone methyltransferases and demethylases in NSCLC was analysed using the GEPIA database.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KDM5B mRNA expression levels in 15 NSCLC tissues and matched paraneoplastic tissues determined via qRT‒PCR. C Knockdown efficiency after transfection of si-KDM5B in A549 and H460 </w:t>
      </w:r>
      <w:r>
        <w:rPr>
          <w:rFonts w:hint="eastAsia" w:ascii="Times New Roman" w:hAnsi="Times New Roman" w:cs="Times New Roman"/>
          <w:sz w:val="24"/>
          <w:szCs w:val="24"/>
        </w:rPr>
        <w:t>cells</w:t>
      </w:r>
      <w:r>
        <w:rPr>
          <w:rFonts w:ascii="Times New Roman" w:hAnsi="Times New Roman" w:cs="Times New Roman"/>
          <w:sz w:val="24"/>
          <w:szCs w:val="24"/>
        </w:rPr>
        <w:t>. The values in B and C are expressed as the means ± SDs. ***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0.001.</w:t>
      </w:r>
    </w:p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95801902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5MGQyYzAxOTAzNjRmOTZmNmU3ZWVjM2MyNDU1NjUifQ=="/>
  </w:docVars>
  <w:rsids>
    <w:rsidRoot w:val="00EA646D"/>
    <w:rsid w:val="00361EA7"/>
    <w:rsid w:val="005304C1"/>
    <w:rsid w:val="005E5A1E"/>
    <w:rsid w:val="009A5CA2"/>
    <w:rsid w:val="009C201E"/>
    <w:rsid w:val="00B24DEE"/>
    <w:rsid w:val="00C84851"/>
    <w:rsid w:val="00EA3BE2"/>
    <w:rsid w:val="00EA646D"/>
    <w:rsid w:val="00F015BA"/>
    <w:rsid w:val="0D2D3A6C"/>
    <w:rsid w:val="111755BA"/>
    <w:rsid w:val="15B327DE"/>
    <w:rsid w:val="2A3D4989"/>
    <w:rsid w:val="2D4C14A7"/>
    <w:rsid w:val="41141B93"/>
    <w:rsid w:val="51C97A34"/>
    <w:rsid w:val="7D8B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line number"/>
    <w:basedOn w:val="5"/>
    <w:semiHidden/>
    <w:unhideWhenUsed/>
    <w:qFormat/>
    <w:uiPriority w:val="99"/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401</Words>
  <Characters>2288</Characters>
  <Lines>19</Lines>
  <Paragraphs>5</Paragraphs>
  <TotalTime>2</TotalTime>
  <ScaleCrop>false</ScaleCrop>
  <LinksUpToDate>false</LinksUpToDate>
  <CharactersWithSpaces>2684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2023-12-07T02:59:00Z</dcterms:created>
  <dc:creator>CN8239</dc:creator>
  <cp:lastModifiedBy>Jiemin Wang</cp:lastModifiedBy>
  <dcterms:modified xsi:type="dcterms:W3CDTF">2023-12-18T04:52:29Z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C7088A6891F941768F2495C3794F001C_12</vt:lpwstr>
  </property>
</Properties>
</file>