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F5641" w14:textId="77777777" w:rsidR="00142108" w:rsidRDefault="00142108" w:rsidP="00142108">
      <w:pPr>
        <w:pStyle w:val="Heading1"/>
        <w:spacing w:before="0" w:line="276" w:lineRule="auto"/>
        <w:rPr>
          <w:b/>
          <w:bCs/>
          <w:color w:val="auto"/>
          <w:lang w:val="en-GB"/>
        </w:rPr>
      </w:pPr>
      <w:r>
        <w:rPr>
          <w:b/>
          <w:bCs/>
          <w:color w:val="auto"/>
          <w:lang w:val="en-GB"/>
        </w:rPr>
        <w:t>Appendix 1</w:t>
      </w:r>
    </w:p>
    <w:p w14:paraId="356CB5E9" w14:textId="77777777" w:rsidR="00142108" w:rsidRDefault="00142108" w:rsidP="00142108">
      <w:pPr>
        <w:spacing w:line="276" w:lineRule="auto"/>
        <w:rPr>
          <w:lang w:val="en-GB"/>
        </w:rPr>
      </w:pPr>
      <w:r>
        <w:rPr>
          <w:noProof/>
        </w:rPr>
        <w:drawing>
          <wp:inline distT="0" distB="0" distL="0" distR="0" wp14:anchorId="388AB9C9" wp14:editId="3D061F8C">
            <wp:extent cx="5970905" cy="3562350"/>
            <wp:effectExtent l="0" t="0" r="10795" b="0"/>
            <wp:docPr id="1" name="Object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68B6B43" w14:textId="77777777" w:rsidR="00142108" w:rsidRDefault="00142108" w:rsidP="00142108">
      <w:pPr>
        <w:spacing w:line="276" w:lineRule="auto"/>
        <w:rPr>
          <w:lang w:val="en-GB"/>
        </w:rPr>
      </w:pPr>
      <w:r>
        <w:rPr>
          <w:lang w:val="en-GB"/>
        </w:rPr>
        <w:t>Figure 1. Societal costs divided by 3-month time frames.</w:t>
      </w:r>
    </w:p>
    <w:p w14:paraId="4D9EA4FB" w14:textId="77777777" w:rsidR="00142108" w:rsidRDefault="00142108" w:rsidP="00142108">
      <w:pPr>
        <w:spacing w:line="276" w:lineRule="auto"/>
        <w:rPr>
          <w:lang w:val="en-GB"/>
        </w:rPr>
      </w:pPr>
    </w:p>
    <w:p w14:paraId="5A2C2180" w14:textId="77777777" w:rsidR="00142108" w:rsidRDefault="00142108" w:rsidP="00142108">
      <w:pPr>
        <w:spacing w:line="276" w:lineRule="auto"/>
        <w:rPr>
          <w:lang w:val="en-GB"/>
        </w:rPr>
      </w:pPr>
      <w:r>
        <w:rPr>
          <w:noProof/>
          <w:lang w:val="en-GB"/>
        </w:rPr>
        <w:drawing>
          <wp:anchor distT="0" distB="0" distL="0" distR="0" simplePos="0" relativeHeight="251659264" behindDoc="0" locked="0" layoutInCell="1" allowOverlap="1" wp14:anchorId="2EF51B4C" wp14:editId="0C24F97F">
            <wp:simplePos x="0" y="0"/>
            <wp:positionH relativeFrom="column">
              <wp:posOffset>3175</wp:posOffset>
            </wp:positionH>
            <wp:positionV relativeFrom="paragraph">
              <wp:posOffset>220345</wp:posOffset>
            </wp:positionV>
            <wp:extent cx="5961380" cy="3395980"/>
            <wp:effectExtent l="0" t="0" r="0" b="0"/>
            <wp:wrapSquare wrapText="bothSides"/>
            <wp:docPr id="2" name="Object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anchor>
        </w:drawing>
      </w:r>
      <w:r>
        <w:rPr>
          <w:lang w:val="en-GB"/>
        </w:rPr>
        <w:t>Figure 2. Numeric Rating Scale Pain scores over one year – All participants</w:t>
      </w:r>
    </w:p>
    <w:p w14:paraId="0841FC32" w14:textId="733A83AA" w:rsidR="00C35322" w:rsidRPr="00142108" w:rsidRDefault="00000000" w:rsidP="00142108">
      <w:pPr>
        <w:spacing w:after="0" w:line="240" w:lineRule="auto"/>
        <w:rPr>
          <w:b/>
          <w:bCs/>
          <w:lang w:val="en-GB"/>
        </w:rPr>
      </w:pPr>
    </w:p>
    <w:sectPr w:rsidR="00C35322" w:rsidRPr="001421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108"/>
    <w:rsid w:val="00142108"/>
    <w:rsid w:val="00811EF3"/>
    <w:rsid w:val="00F70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6BEB836"/>
  <w15:chartTrackingRefBased/>
  <w15:docId w15:val="{4D61E91E-6A31-455A-9C08-444F13AE0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2108"/>
    <w:pPr>
      <w:suppressAutoHyphens/>
    </w:pPr>
    <w:rPr>
      <w:rFonts w:ascii="Calibri" w:eastAsia="Calibri" w:hAnsi="Calibri"/>
      <w:lang w:val="nl-NL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210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14210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nl-NL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/>
          <a:lstStyle/>
          <a:p>
            <a:pPr>
              <a:defRPr lang="nl-NL" sz="1400" b="0" strike="noStrike" spc="-1">
                <a:solidFill>
                  <a:srgbClr val="595959"/>
                </a:solidFill>
                <a:latin typeface="Calibri"/>
              </a:defRPr>
            </a:pPr>
            <a:r>
              <a:rPr lang="nl-NL" sz="1400" b="0" strike="noStrike" spc="-1">
                <a:solidFill>
                  <a:srgbClr val="595959"/>
                </a:solidFill>
                <a:latin typeface="Calibri"/>
              </a:rPr>
              <a:t>Societal costs - All participants
</a:t>
            </a:r>
          </a:p>
        </c:rich>
      </c:tx>
      <c:overlay val="0"/>
      <c:spPr>
        <a:noFill/>
        <a:ln w="0">
          <a:noFill/>
        </a:ln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label 0</c:f>
              <c:strCache>
                <c:ptCount val="1"/>
                <c:pt idx="0">
                  <c:v>Medication costs</c:v>
                </c:pt>
              </c:strCache>
            </c:strRef>
          </c:tx>
          <c:spPr>
            <a:ln w="28440" cap="rnd">
              <a:solidFill>
                <a:srgbClr val="4472C4"/>
              </a:solidFill>
              <a:round/>
            </a:ln>
          </c:spPr>
          <c:marker>
            <c:symbol val="circle"/>
            <c:size val="5"/>
            <c:spPr>
              <a:solidFill>
                <a:srgbClr val="4472C4"/>
              </a:solidFill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wrap="square"/>
              <a:lstStyle/>
              <a:p>
                <a:pPr>
                  <a:defRPr sz="1000" b="0" strike="noStrike" spc="-1">
                    <a:solidFill>
                      <a:srgbClr val="000000"/>
                    </a:solidFill>
                    <a:latin typeface="Calibri"/>
                  </a:defRPr>
                </a:pPr>
                <a:endParaRPr lang="nl-NL"/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1"/>
            <c:separator>; </c:separator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categories</c:f>
              <c:strCache>
                <c:ptCount val="4"/>
                <c:pt idx="0">
                  <c:v>0-3 months</c:v>
                </c:pt>
                <c:pt idx="1">
                  <c:v>3-6 months</c:v>
                </c:pt>
                <c:pt idx="2">
                  <c:v>6-9 months</c:v>
                </c:pt>
                <c:pt idx="3">
                  <c:v>9-12 months</c:v>
                </c:pt>
              </c:strCache>
            </c:strRef>
          </c:cat>
          <c:val>
            <c:numRef>
              <c:f>0</c:f>
              <c:numCache>
                <c:formatCode>General</c:formatCode>
                <c:ptCount val="4"/>
                <c:pt idx="0">
                  <c:v>95</c:v>
                </c:pt>
                <c:pt idx="1">
                  <c:v>61</c:v>
                </c:pt>
                <c:pt idx="2">
                  <c:v>204</c:v>
                </c:pt>
                <c:pt idx="3">
                  <c:v>72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B39-4F50-AF27-F87652D64D75}"/>
            </c:ext>
          </c:extLst>
        </c:ser>
        <c:ser>
          <c:idx val="1"/>
          <c:order val="1"/>
          <c:tx>
            <c:strRef>
              <c:f>label 1</c:f>
              <c:strCache>
                <c:ptCount val="1"/>
                <c:pt idx="0">
                  <c:v>Primary healthcare costs</c:v>
                </c:pt>
              </c:strCache>
            </c:strRef>
          </c:tx>
          <c:spPr>
            <a:ln w="28440" cap="rnd">
              <a:solidFill>
                <a:srgbClr val="ED7D31"/>
              </a:solidFill>
              <a:round/>
            </a:ln>
          </c:spPr>
          <c:marker>
            <c:symbol val="circle"/>
            <c:size val="5"/>
            <c:spPr>
              <a:solidFill>
                <a:srgbClr val="ED7D31"/>
              </a:solidFill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wrap="square"/>
              <a:lstStyle/>
              <a:p>
                <a:pPr>
                  <a:defRPr sz="1000" b="0" strike="noStrike" spc="-1">
                    <a:solidFill>
                      <a:srgbClr val="000000"/>
                    </a:solidFill>
                    <a:latin typeface="Calibri"/>
                  </a:defRPr>
                </a:pPr>
                <a:endParaRPr lang="nl-NL"/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1"/>
            <c:separator>; </c:separator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categories</c:f>
              <c:strCache>
                <c:ptCount val="4"/>
                <c:pt idx="0">
                  <c:v>0-3 months</c:v>
                </c:pt>
                <c:pt idx="1">
                  <c:v>3-6 months</c:v>
                </c:pt>
                <c:pt idx="2">
                  <c:v>6-9 months</c:v>
                </c:pt>
                <c:pt idx="3">
                  <c:v>9-12 months</c:v>
                </c:pt>
              </c:strCache>
            </c:strRef>
          </c:cat>
          <c:val>
            <c:numRef>
              <c:f>1</c:f>
              <c:numCache>
                <c:formatCode>General</c:formatCode>
                <c:ptCount val="4"/>
                <c:pt idx="0">
                  <c:v>133</c:v>
                </c:pt>
                <c:pt idx="1">
                  <c:v>91</c:v>
                </c:pt>
                <c:pt idx="2">
                  <c:v>73</c:v>
                </c:pt>
                <c:pt idx="3">
                  <c:v>49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B39-4F50-AF27-F87652D64D75}"/>
            </c:ext>
          </c:extLst>
        </c:ser>
        <c:ser>
          <c:idx val="2"/>
          <c:order val="2"/>
          <c:tx>
            <c:strRef>
              <c:f>label 2</c:f>
              <c:strCache>
                <c:ptCount val="1"/>
                <c:pt idx="0">
                  <c:v>Secondary healthcare costs</c:v>
                </c:pt>
              </c:strCache>
            </c:strRef>
          </c:tx>
          <c:spPr>
            <a:ln w="28440" cap="rnd">
              <a:solidFill>
                <a:srgbClr val="A5A5A5"/>
              </a:solidFill>
              <a:round/>
            </a:ln>
          </c:spPr>
          <c:marker>
            <c:symbol val="circle"/>
            <c:size val="5"/>
            <c:spPr>
              <a:solidFill>
                <a:srgbClr val="A5A5A5"/>
              </a:solidFill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wrap="square"/>
              <a:lstStyle/>
              <a:p>
                <a:pPr>
                  <a:defRPr sz="1000" b="0" strike="noStrike" spc="-1">
                    <a:solidFill>
                      <a:srgbClr val="000000"/>
                    </a:solidFill>
                    <a:latin typeface="Calibri"/>
                  </a:defRPr>
                </a:pPr>
                <a:endParaRPr lang="nl-NL"/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1"/>
            <c:separator>; </c:separator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categories</c:f>
              <c:strCache>
                <c:ptCount val="4"/>
                <c:pt idx="0">
                  <c:v>0-3 months</c:v>
                </c:pt>
                <c:pt idx="1">
                  <c:v>3-6 months</c:v>
                </c:pt>
                <c:pt idx="2">
                  <c:v>6-9 months</c:v>
                </c:pt>
                <c:pt idx="3">
                  <c:v>9-12 months</c:v>
                </c:pt>
              </c:strCache>
            </c:strRef>
          </c:cat>
          <c:val>
            <c:numRef>
              <c:f>2</c:f>
              <c:numCache>
                <c:formatCode>General</c:formatCode>
                <c:ptCount val="4"/>
                <c:pt idx="0">
                  <c:v>70</c:v>
                </c:pt>
                <c:pt idx="1">
                  <c:v>84</c:v>
                </c:pt>
                <c:pt idx="2">
                  <c:v>82</c:v>
                </c:pt>
                <c:pt idx="3">
                  <c:v>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39-4F50-AF27-F87652D64D75}"/>
            </c:ext>
          </c:extLst>
        </c:ser>
        <c:ser>
          <c:idx val="3"/>
          <c:order val="3"/>
          <c:tx>
            <c:strRef>
              <c:f>label 3</c:f>
              <c:strCache>
                <c:ptCount val="1"/>
                <c:pt idx="0">
                  <c:v>Absenteeism costs</c:v>
                </c:pt>
              </c:strCache>
            </c:strRef>
          </c:tx>
          <c:spPr>
            <a:ln w="28440" cap="rnd">
              <a:solidFill>
                <a:srgbClr val="FFC000"/>
              </a:solidFill>
              <a:round/>
            </a:ln>
          </c:spPr>
          <c:marker>
            <c:symbol val="circle"/>
            <c:size val="5"/>
            <c:spPr>
              <a:solidFill>
                <a:srgbClr val="FFC000"/>
              </a:solidFill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wrap="square"/>
              <a:lstStyle/>
              <a:p>
                <a:pPr>
                  <a:defRPr sz="1000" b="0" strike="noStrike" spc="-1">
                    <a:solidFill>
                      <a:srgbClr val="000000"/>
                    </a:solidFill>
                    <a:latin typeface="Calibri"/>
                  </a:defRPr>
                </a:pPr>
                <a:endParaRPr lang="nl-NL"/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1"/>
            <c:separator>; </c:separator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categories</c:f>
              <c:strCache>
                <c:ptCount val="4"/>
                <c:pt idx="0">
                  <c:v>0-3 months</c:v>
                </c:pt>
                <c:pt idx="1">
                  <c:v>3-6 months</c:v>
                </c:pt>
                <c:pt idx="2">
                  <c:v>6-9 months</c:v>
                </c:pt>
                <c:pt idx="3">
                  <c:v>9-12 months</c:v>
                </c:pt>
              </c:strCache>
            </c:strRef>
          </c:cat>
          <c:val>
            <c:numRef>
              <c:f>3</c:f>
              <c:numCache>
                <c:formatCode>General</c:formatCode>
                <c:ptCount val="4"/>
                <c:pt idx="0">
                  <c:v>96</c:v>
                </c:pt>
                <c:pt idx="1">
                  <c:v>235</c:v>
                </c:pt>
                <c:pt idx="2">
                  <c:v>75</c:v>
                </c:pt>
                <c:pt idx="3">
                  <c:v>54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FB39-4F50-AF27-F87652D64D75}"/>
            </c:ext>
          </c:extLst>
        </c:ser>
        <c:ser>
          <c:idx val="4"/>
          <c:order val="4"/>
          <c:tx>
            <c:strRef>
              <c:f>label 4</c:f>
              <c:strCache>
                <c:ptCount val="1"/>
                <c:pt idx="0">
                  <c:v>Presenteeism costs</c:v>
                </c:pt>
              </c:strCache>
            </c:strRef>
          </c:tx>
          <c:spPr>
            <a:ln w="28440" cap="rnd">
              <a:solidFill>
                <a:srgbClr val="5B9BD5"/>
              </a:solidFill>
              <a:round/>
            </a:ln>
          </c:spPr>
          <c:marker>
            <c:symbol val="circle"/>
            <c:size val="5"/>
            <c:spPr>
              <a:solidFill>
                <a:srgbClr val="5B9BD5"/>
              </a:solidFill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wrap="square"/>
              <a:lstStyle/>
              <a:p>
                <a:pPr>
                  <a:defRPr sz="1000" b="0" strike="noStrike" spc="-1">
                    <a:solidFill>
                      <a:srgbClr val="000000"/>
                    </a:solidFill>
                    <a:latin typeface="Calibri"/>
                  </a:defRPr>
                </a:pPr>
                <a:endParaRPr lang="nl-NL"/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1"/>
            <c:separator>; </c:separator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categories</c:f>
              <c:strCache>
                <c:ptCount val="4"/>
                <c:pt idx="0">
                  <c:v>0-3 months</c:v>
                </c:pt>
                <c:pt idx="1">
                  <c:v>3-6 months</c:v>
                </c:pt>
                <c:pt idx="2">
                  <c:v>6-9 months</c:v>
                </c:pt>
                <c:pt idx="3">
                  <c:v>9-12 months</c:v>
                </c:pt>
              </c:strCache>
            </c:strRef>
          </c:cat>
          <c:val>
            <c:numRef>
              <c:f>4</c:f>
              <c:numCache>
                <c:formatCode>General</c:formatCode>
                <c:ptCount val="4"/>
                <c:pt idx="0">
                  <c:v>1263</c:v>
                </c:pt>
                <c:pt idx="1">
                  <c:v>671</c:v>
                </c:pt>
                <c:pt idx="2">
                  <c:v>811</c:v>
                </c:pt>
                <c:pt idx="3">
                  <c:v>673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FB39-4F50-AF27-F87652D64D75}"/>
            </c:ext>
          </c:extLst>
        </c:ser>
        <c:ser>
          <c:idx val="5"/>
          <c:order val="5"/>
          <c:tx>
            <c:strRef>
              <c:f>label 5</c:f>
              <c:strCache>
                <c:ptCount val="1"/>
                <c:pt idx="0">
                  <c:v>Unpaid productivity costs</c:v>
                </c:pt>
              </c:strCache>
            </c:strRef>
          </c:tx>
          <c:spPr>
            <a:ln w="28440" cap="rnd">
              <a:solidFill>
                <a:srgbClr val="70AD47"/>
              </a:solidFill>
              <a:round/>
            </a:ln>
          </c:spPr>
          <c:marker>
            <c:symbol val="circle"/>
            <c:size val="5"/>
            <c:spPr>
              <a:solidFill>
                <a:srgbClr val="70AD47"/>
              </a:solidFill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wrap="square"/>
              <a:lstStyle/>
              <a:p>
                <a:pPr>
                  <a:defRPr sz="1000" b="0" strike="noStrike" spc="-1">
                    <a:solidFill>
                      <a:srgbClr val="000000"/>
                    </a:solidFill>
                    <a:latin typeface="Calibri"/>
                  </a:defRPr>
                </a:pPr>
                <a:endParaRPr lang="nl-NL"/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1"/>
            <c:separator>; </c:separator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categories</c:f>
              <c:strCache>
                <c:ptCount val="4"/>
                <c:pt idx="0">
                  <c:v>0-3 months</c:v>
                </c:pt>
                <c:pt idx="1">
                  <c:v>3-6 months</c:v>
                </c:pt>
                <c:pt idx="2">
                  <c:v>6-9 months</c:v>
                </c:pt>
                <c:pt idx="3">
                  <c:v>9-12 months</c:v>
                </c:pt>
              </c:strCache>
            </c:strRef>
          </c:cat>
          <c:val>
            <c:numRef>
              <c:f>5</c:f>
              <c:numCache>
                <c:formatCode>General</c:formatCode>
                <c:ptCount val="4"/>
                <c:pt idx="0">
                  <c:v>33</c:v>
                </c:pt>
                <c:pt idx="1">
                  <c:v>28</c:v>
                </c:pt>
                <c:pt idx="2">
                  <c:v>26</c:v>
                </c:pt>
                <c:pt idx="3">
                  <c:v>155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FB39-4F50-AF27-F87652D64D75}"/>
            </c:ext>
          </c:extLst>
        </c:ser>
        <c:ser>
          <c:idx val="6"/>
          <c:order val="6"/>
          <c:tx>
            <c:strRef>
              <c:f>label 6</c:f>
              <c:strCache>
                <c:ptCount val="1"/>
                <c:pt idx="0">
                  <c:v>Informal care costs</c:v>
                </c:pt>
              </c:strCache>
            </c:strRef>
          </c:tx>
          <c:spPr>
            <a:ln w="28440" cap="rnd">
              <a:solidFill>
                <a:srgbClr val="264478"/>
              </a:solidFill>
              <a:round/>
            </a:ln>
          </c:spPr>
          <c:marker>
            <c:symbol val="circle"/>
            <c:size val="5"/>
            <c:spPr>
              <a:solidFill>
                <a:srgbClr val="264478"/>
              </a:solidFill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wrap="square"/>
              <a:lstStyle/>
              <a:p>
                <a:pPr>
                  <a:defRPr sz="1000" b="0" strike="noStrike" spc="-1">
                    <a:solidFill>
                      <a:srgbClr val="000000"/>
                    </a:solidFill>
                    <a:latin typeface="Calibri"/>
                  </a:defRPr>
                </a:pPr>
                <a:endParaRPr lang="nl-NL"/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1"/>
            <c:separator>; </c:separator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categories</c:f>
              <c:strCache>
                <c:ptCount val="4"/>
                <c:pt idx="0">
                  <c:v>0-3 months</c:v>
                </c:pt>
                <c:pt idx="1">
                  <c:v>3-6 months</c:v>
                </c:pt>
                <c:pt idx="2">
                  <c:v>6-9 months</c:v>
                </c:pt>
                <c:pt idx="3">
                  <c:v>9-12 months</c:v>
                </c:pt>
              </c:strCache>
            </c:strRef>
          </c:cat>
          <c:val>
            <c:numRef>
              <c:f>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7</c:v>
                </c:pt>
                <c:pt idx="3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FB39-4F50-AF27-F87652D64D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0">
              <a:noFill/>
            </a:ln>
          </c:spPr>
        </c:hiLowLines>
        <c:marker val="1"/>
        <c:smooth val="0"/>
        <c:axId val="75206561"/>
        <c:axId val="1846127"/>
      </c:lineChart>
      <c:catAx>
        <c:axId val="75206561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ln w="9360">
            <a:solidFill>
              <a:srgbClr val="D9D9D9"/>
            </a:solidFill>
            <a:round/>
          </a:ln>
        </c:spPr>
        <c:txPr>
          <a:bodyPr/>
          <a:lstStyle/>
          <a:p>
            <a:pPr>
              <a:defRPr sz="900" b="0" strike="noStrike" spc="-1">
                <a:solidFill>
                  <a:srgbClr val="595959"/>
                </a:solidFill>
                <a:latin typeface="Calibri"/>
              </a:defRPr>
            </a:pPr>
            <a:endParaRPr lang="nl-NL"/>
          </a:p>
        </c:txPr>
        <c:crossAx val="1846127"/>
        <c:crosses val="autoZero"/>
        <c:auto val="1"/>
        <c:lblAlgn val="ctr"/>
        <c:lblOffset val="100"/>
        <c:noMultiLvlLbl val="0"/>
      </c:catAx>
      <c:valAx>
        <c:axId val="1846127"/>
        <c:scaling>
          <c:orientation val="minMax"/>
        </c:scaling>
        <c:delete val="0"/>
        <c:axPos val="l"/>
        <c:majorGridlines>
          <c:spPr>
            <a:ln w="9360">
              <a:solidFill>
                <a:srgbClr val="D9D9D9"/>
              </a:solidFill>
              <a:round/>
            </a:ln>
          </c:spPr>
        </c:majorGridlines>
        <c:title>
          <c:tx>
            <c:rich>
              <a:bodyPr rot="-5400000"/>
              <a:lstStyle/>
              <a:p>
                <a:pPr>
                  <a:defRPr lang="nl-NL" sz="1000" b="0" strike="noStrike" spc="-1">
                    <a:solidFill>
                      <a:srgbClr val="595959"/>
                    </a:solidFill>
                    <a:latin typeface="Calibri"/>
                  </a:defRPr>
                </a:pPr>
                <a:r>
                  <a:rPr lang="nl-NL" sz="1000" b="0" strike="noStrike" spc="-1">
                    <a:solidFill>
                      <a:srgbClr val="595959"/>
                    </a:solidFill>
                    <a:latin typeface="Calibri"/>
                  </a:rPr>
                  <a:t>€</a:t>
                </a:r>
              </a:p>
            </c:rich>
          </c:tx>
          <c:overlay val="0"/>
          <c:spPr>
            <a:noFill/>
            <a:ln w="0">
              <a:noFill/>
            </a:ln>
          </c:spPr>
        </c:title>
        <c:numFmt formatCode="General" sourceLinked="0"/>
        <c:majorTickMark val="none"/>
        <c:minorTickMark val="none"/>
        <c:tickLblPos val="nextTo"/>
        <c:spPr>
          <a:ln w="6480">
            <a:noFill/>
          </a:ln>
        </c:spPr>
        <c:txPr>
          <a:bodyPr/>
          <a:lstStyle/>
          <a:p>
            <a:pPr>
              <a:defRPr sz="900" b="0" strike="noStrike" spc="-1">
                <a:solidFill>
                  <a:srgbClr val="595959"/>
                </a:solidFill>
                <a:latin typeface="Calibri"/>
              </a:defRPr>
            </a:pPr>
            <a:endParaRPr lang="nl-NL"/>
          </a:p>
        </c:txPr>
        <c:crossAx val="75206561"/>
        <c:crosses val="autoZero"/>
        <c:crossBetween val="between"/>
      </c:valAx>
      <c:spPr>
        <a:noFill/>
        <a:ln w="0">
          <a:noFill/>
        </a:ln>
      </c:spPr>
    </c:plotArea>
    <c:legend>
      <c:legendPos val="b"/>
      <c:overlay val="0"/>
      <c:spPr>
        <a:noFill/>
        <a:ln w="0">
          <a:noFill/>
        </a:ln>
      </c:spPr>
      <c:txPr>
        <a:bodyPr/>
        <a:lstStyle/>
        <a:p>
          <a:pPr>
            <a:defRPr sz="900" b="0" strike="noStrike" spc="-1">
              <a:solidFill>
                <a:srgbClr val="595959"/>
              </a:solidFill>
              <a:latin typeface="Calibri"/>
            </a:defRPr>
          </a:pPr>
          <a:endParaRPr lang="nl-NL"/>
        </a:p>
      </c:txPr>
    </c:legend>
    <c:plotVisOnly val="1"/>
    <c:dispBlanksAs val="gap"/>
    <c:showDLblsOverMax val="1"/>
  </c:chart>
  <c:spPr>
    <a:solidFill>
      <a:srgbClr val="FFFFFF"/>
    </a:solidFill>
    <a:ln w="9360">
      <a:solidFill>
        <a:srgbClr val="D9D9D9"/>
      </a:solidFill>
      <a:round/>
    </a:ln>
  </c:spPr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/>
          <a:lstStyle/>
          <a:p>
            <a:pPr>
              <a:defRPr lang="nl-NL" sz="1400" b="0" strike="noStrike" spc="-1">
                <a:solidFill>
                  <a:srgbClr val="595959"/>
                </a:solidFill>
                <a:latin typeface="Calibri"/>
              </a:defRPr>
            </a:pPr>
            <a:r>
              <a:rPr lang="nl-NL" sz="1400" b="0" strike="noStrike" spc="-1">
                <a:solidFill>
                  <a:srgbClr val="595959"/>
                </a:solidFill>
                <a:latin typeface="Calibri"/>
              </a:rPr>
              <a:t>Numeric Rating Scale - Pain score (0-10)</a:t>
            </a:r>
          </a:p>
        </c:rich>
      </c:tx>
      <c:overlay val="0"/>
      <c:spPr>
        <a:noFill/>
        <a:ln w="0">
          <a:noFill/>
        </a:ln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label 0</c:f>
              <c:strCache>
                <c:ptCount val="1"/>
                <c:pt idx="0">
                  <c:v>NRS (today)</c:v>
                </c:pt>
              </c:strCache>
            </c:strRef>
          </c:tx>
          <c:spPr>
            <a:ln w="28440" cap="rnd">
              <a:solidFill>
                <a:srgbClr val="4472C4"/>
              </a:solidFill>
              <a:round/>
            </a:ln>
          </c:spPr>
          <c:marker>
            <c:symbol val="circle"/>
            <c:size val="5"/>
            <c:spPr>
              <a:solidFill>
                <a:srgbClr val="4472C4"/>
              </a:solidFill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wrap="square"/>
              <a:lstStyle/>
              <a:p>
                <a:pPr>
                  <a:defRPr sz="1000" b="0" strike="noStrike" spc="-1">
                    <a:solidFill>
                      <a:srgbClr val="000000"/>
                    </a:solidFill>
                    <a:latin typeface="Calibri"/>
                  </a:defRPr>
                </a:pPr>
                <a:endParaRPr lang="nl-NL"/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1"/>
            <c:separator>; </c:separator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categories</c:f>
              <c:strCache>
                <c:ptCount val="5"/>
                <c:pt idx="0">
                  <c:v>0 months</c:v>
                </c:pt>
                <c:pt idx="1">
                  <c:v>3 months</c:v>
                </c:pt>
                <c:pt idx="2">
                  <c:v>6 months</c:v>
                </c:pt>
                <c:pt idx="3">
                  <c:v>9 months</c:v>
                </c:pt>
                <c:pt idx="4">
                  <c:v>12 months</c:v>
                </c:pt>
              </c:strCache>
            </c:strRef>
          </c:cat>
          <c:val>
            <c:numRef>
              <c:f>0</c:f>
              <c:numCache>
                <c:formatCode>General</c:formatCode>
                <c:ptCount val="5"/>
                <c:pt idx="0">
                  <c:v>5.55</c:v>
                </c:pt>
                <c:pt idx="1">
                  <c:v>2.27</c:v>
                </c:pt>
                <c:pt idx="2">
                  <c:v>2.0499999999999998</c:v>
                </c:pt>
                <c:pt idx="3">
                  <c:v>2.1800000000000002</c:v>
                </c:pt>
                <c:pt idx="4">
                  <c:v>2.0499999999999998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F7E-45DA-BD57-97A2CF06F8C9}"/>
            </c:ext>
          </c:extLst>
        </c:ser>
        <c:ser>
          <c:idx val="1"/>
          <c:order val="1"/>
          <c:tx>
            <c:strRef>
              <c:f>label 1</c:f>
              <c:strCache>
                <c:ptCount val="1"/>
                <c:pt idx="0">
                  <c:v>NRS (last week)</c:v>
                </c:pt>
              </c:strCache>
            </c:strRef>
          </c:tx>
          <c:spPr>
            <a:ln w="28440" cap="rnd">
              <a:solidFill>
                <a:srgbClr val="ED7D31"/>
              </a:solidFill>
              <a:round/>
            </a:ln>
          </c:spPr>
          <c:marker>
            <c:symbol val="circle"/>
            <c:size val="5"/>
            <c:spPr>
              <a:solidFill>
                <a:srgbClr val="ED7D31"/>
              </a:solidFill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wrap="square"/>
              <a:lstStyle/>
              <a:p>
                <a:pPr>
                  <a:defRPr sz="1000" b="0" strike="noStrike" spc="-1">
                    <a:solidFill>
                      <a:srgbClr val="000000"/>
                    </a:solidFill>
                    <a:latin typeface="Calibri"/>
                  </a:defRPr>
                </a:pPr>
                <a:endParaRPr lang="nl-NL"/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1"/>
            <c:separator>; </c:separator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categories</c:f>
              <c:strCache>
                <c:ptCount val="5"/>
                <c:pt idx="0">
                  <c:v>0 months</c:v>
                </c:pt>
                <c:pt idx="1">
                  <c:v>3 months</c:v>
                </c:pt>
                <c:pt idx="2">
                  <c:v>6 months</c:v>
                </c:pt>
                <c:pt idx="3">
                  <c:v>9 months</c:v>
                </c:pt>
                <c:pt idx="4">
                  <c:v>12 months</c:v>
                </c:pt>
              </c:strCache>
            </c:strRef>
          </c:cat>
          <c:val>
            <c:numRef>
              <c:f>1</c:f>
              <c:numCache>
                <c:formatCode>General</c:formatCode>
                <c:ptCount val="5"/>
                <c:pt idx="0">
                  <c:v>5.96</c:v>
                </c:pt>
                <c:pt idx="1">
                  <c:v>2.46</c:v>
                </c:pt>
                <c:pt idx="2">
                  <c:v>2.29</c:v>
                </c:pt>
                <c:pt idx="3">
                  <c:v>2.4700000000000002</c:v>
                </c:pt>
                <c:pt idx="4">
                  <c:v>2.2200000000000002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F7E-45DA-BD57-97A2CF06F8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0">
              <a:noFill/>
            </a:ln>
          </c:spPr>
        </c:hiLowLines>
        <c:marker val="1"/>
        <c:smooth val="0"/>
        <c:axId val="60126020"/>
        <c:axId val="13635267"/>
      </c:lineChart>
      <c:catAx>
        <c:axId val="6012602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ln w="9360">
            <a:solidFill>
              <a:srgbClr val="D9D9D9"/>
            </a:solidFill>
            <a:round/>
          </a:ln>
        </c:spPr>
        <c:txPr>
          <a:bodyPr/>
          <a:lstStyle/>
          <a:p>
            <a:pPr>
              <a:defRPr sz="900" b="0" strike="noStrike" spc="-1">
                <a:solidFill>
                  <a:srgbClr val="595959"/>
                </a:solidFill>
                <a:latin typeface="Calibri"/>
              </a:defRPr>
            </a:pPr>
            <a:endParaRPr lang="nl-NL"/>
          </a:p>
        </c:txPr>
        <c:crossAx val="13635267"/>
        <c:crosses val="autoZero"/>
        <c:auto val="1"/>
        <c:lblAlgn val="ctr"/>
        <c:lblOffset val="100"/>
        <c:noMultiLvlLbl val="0"/>
      </c:catAx>
      <c:valAx>
        <c:axId val="13635267"/>
        <c:scaling>
          <c:orientation val="minMax"/>
          <c:max val="10"/>
        </c:scaling>
        <c:delete val="0"/>
        <c:axPos val="l"/>
        <c:majorGridlines>
          <c:spPr>
            <a:ln w="9360">
              <a:solidFill>
                <a:srgbClr val="D9D9D9"/>
              </a:solidFill>
              <a:round/>
            </a:ln>
          </c:spPr>
        </c:majorGridlines>
        <c:numFmt formatCode="General" sourceLinked="0"/>
        <c:majorTickMark val="none"/>
        <c:minorTickMark val="none"/>
        <c:tickLblPos val="nextTo"/>
        <c:spPr>
          <a:ln w="6480">
            <a:noFill/>
          </a:ln>
        </c:spPr>
        <c:txPr>
          <a:bodyPr/>
          <a:lstStyle/>
          <a:p>
            <a:pPr>
              <a:defRPr sz="900" b="0" strike="noStrike" spc="-1">
                <a:solidFill>
                  <a:srgbClr val="595959"/>
                </a:solidFill>
                <a:latin typeface="Calibri"/>
              </a:defRPr>
            </a:pPr>
            <a:endParaRPr lang="nl-NL"/>
          </a:p>
        </c:txPr>
        <c:crossAx val="60126020"/>
        <c:crosses val="autoZero"/>
        <c:crossBetween val="between"/>
      </c:valAx>
      <c:spPr>
        <a:noFill/>
        <a:ln w="0">
          <a:noFill/>
        </a:ln>
      </c:spPr>
    </c:plotArea>
    <c:legend>
      <c:legendPos val="b"/>
      <c:overlay val="0"/>
      <c:spPr>
        <a:noFill/>
        <a:ln w="0">
          <a:noFill/>
        </a:ln>
      </c:spPr>
      <c:txPr>
        <a:bodyPr/>
        <a:lstStyle/>
        <a:p>
          <a:pPr>
            <a:defRPr sz="900" b="0" strike="noStrike" spc="-1">
              <a:solidFill>
                <a:srgbClr val="595959"/>
              </a:solidFill>
              <a:latin typeface="Calibri"/>
            </a:defRPr>
          </a:pPr>
          <a:endParaRPr lang="nl-NL"/>
        </a:p>
      </c:txPr>
    </c:legend>
    <c:plotVisOnly val="1"/>
    <c:dispBlanksAs val="gap"/>
    <c:showDLblsOverMax val="1"/>
  </c:chart>
  <c:spPr>
    <a:solidFill>
      <a:srgbClr val="FFFFFF"/>
    </a:solidFill>
    <a:ln w="9360">
      <a:solidFill>
        <a:srgbClr val="D9D9D9"/>
      </a:solidFill>
      <a:round/>
    </a:ln>
  </c:spPr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Maas, E.T. (Esther)</dc:creator>
  <cp:keywords/>
  <dc:description/>
  <cp:lastModifiedBy>Maas, E.T. (Esther)</cp:lastModifiedBy>
  <cp:revision>1</cp:revision>
  <dcterms:created xsi:type="dcterms:W3CDTF">2024-01-09T12:38:00Z</dcterms:created>
  <dcterms:modified xsi:type="dcterms:W3CDTF">2024-01-09T12:38:00Z</dcterms:modified>
</cp:coreProperties>
</file>