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D3C17" w14:textId="4967084F" w:rsidR="00E93BA4" w:rsidRDefault="00E93BA4" w:rsidP="00E93BA4">
      <w:pPr>
        <w:spacing w:line="480" w:lineRule="auto"/>
        <w:rPr>
          <w:rFonts w:cs="Times New Roman"/>
          <w:b/>
          <w:color w:val="000000" w:themeColor="text1"/>
          <w:szCs w:val="24"/>
        </w:rPr>
      </w:pPr>
      <w:r w:rsidRPr="00405AEE">
        <w:rPr>
          <w:rFonts w:cs="Times New Roman"/>
          <w:noProof/>
          <w:color w:val="000000" w:themeColor="text1"/>
          <w:szCs w:val="24"/>
        </w:rPr>
        <w:drawing>
          <wp:inline distT="0" distB="0" distL="0" distR="0" wp14:anchorId="10B6A342" wp14:editId="49F6D465">
            <wp:extent cx="5365869" cy="2083219"/>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3.pd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65869" cy="2083219"/>
                    </a:xfrm>
                    <a:prstGeom prst="rect">
                      <a:avLst/>
                    </a:prstGeom>
                  </pic:spPr>
                </pic:pic>
              </a:graphicData>
            </a:graphic>
          </wp:inline>
        </w:drawing>
      </w:r>
    </w:p>
    <w:p w14:paraId="3F82B4BC" w14:textId="2C45D9E2" w:rsidR="00254511" w:rsidRDefault="00254511" w:rsidP="00254511">
      <w:pPr>
        <w:spacing w:line="480" w:lineRule="auto"/>
        <w:rPr>
          <w:rFonts w:cs="Times New Roman"/>
          <w:color w:val="000000"/>
        </w:rPr>
      </w:pPr>
      <w:r>
        <w:rPr>
          <w:rFonts w:cs="Times New Roman"/>
          <w:b/>
          <w:color w:val="000000"/>
        </w:rPr>
        <w:t>S</w:t>
      </w:r>
      <w:r>
        <w:rPr>
          <w:rFonts w:cs="Times New Roman"/>
          <w:b/>
          <w:color w:val="000000" w:themeColor="text1"/>
        </w:rPr>
        <w:t xml:space="preserve">upplementary Figure 1. </w:t>
      </w:r>
      <w:r>
        <w:rPr>
          <w:rFonts w:cs="Times New Roman"/>
          <w:color w:val="000000" w:themeColor="text1"/>
        </w:rPr>
        <w:t>(A) Representative images of STAT3 staining (×200). (A: normal g</w:t>
      </w:r>
      <w:r>
        <w:rPr>
          <w:rFonts w:cs="Times New Roman"/>
          <w:color w:val="000000"/>
        </w:rPr>
        <w:t xml:space="preserve">roup; B: model group; C: positive control group; D: JGP-L group; E: JGP-M group; F: JGP-H group). STAT3-positive cells are indicated by arrowheads. Bars=100 </w:t>
      </w:r>
      <w:r>
        <w:rPr>
          <w:rFonts w:ascii="Cambria Math" w:hAnsi="Cambria Math" w:cs="Cambria Math"/>
          <w:color w:val="000000"/>
        </w:rPr>
        <w:t>𝜇</w:t>
      </w:r>
      <w:r>
        <w:rPr>
          <w:rFonts w:cs="Times New Roman"/>
          <w:color w:val="000000"/>
        </w:rPr>
        <w:t xml:space="preserve">m. (B) Percentage of STAT3-positive cells. Data were analyzed by one-way analysis of variance and were presented as mean ± SEM. </w:t>
      </w:r>
      <w:r>
        <w:rPr>
          <w:rFonts w:cs="Times New Roman"/>
          <w:color w:val="000000"/>
          <w:vertAlign w:val="superscript"/>
        </w:rPr>
        <w:t>#</w:t>
      </w:r>
      <w:r>
        <w:rPr>
          <w:rFonts w:cs="Times New Roman"/>
          <w:i/>
          <w:color w:val="000000" w:themeColor="text1"/>
        </w:rPr>
        <w:t>p</w:t>
      </w:r>
      <w:r>
        <w:rPr>
          <w:rFonts w:cs="Times New Roman"/>
          <w:color w:val="000000"/>
        </w:rPr>
        <w:t xml:space="preserve"> &lt; 0.05, </w:t>
      </w:r>
      <w:r>
        <w:rPr>
          <w:rFonts w:cs="Times New Roman"/>
          <w:color w:val="000000"/>
          <w:vertAlign w:val="superscript"/>
        </w:rPr>
        <w:t>##</w:t>
      </w:r>
      <w:r>
        <w:rPr>
          <w:rFonts w:cs="Times New Roman"/>
          <w:i/>
          <w:color w:val="000000" w:themeColor="text1"/>
        </w:rPr>
        <w:t>p</w:t>
      </w:r>
      <w:r>
        <w:rPr>
          <w:rFonts w:cs="Times New Roman"/>
          <w:color w:val="000000"/>
        </w:rPr>
        <w:t xml:space="preserve"> &lt; 0.01; </w:t>
      </w:r>
      <w:r>
        <w:rPr>
          <w:rFonts w:cs="Times New Roman"/>
          <w:color w:val="000000"/>
          <w:vertAlign w:val="superscript"/>
        </w:rPr>
        <w:t>###</w:t>
      </w:r>
      <w:r>
        <w:rPr>
          <w:rFonts w:cs="Times New Roman"/>
          <w:i/>
          <w:color w:val="000000" w:themeColor="text1"/>
        </w:rPr>
        <w:t>p</w:t>
      </w:r>
      <w:r>
        <w:rPr>
          <w:rFonts w:cs="Times New Roman"/>
          <w:color w:val="000000"/>
        </w:rPr>
        <w:t>&lt; 0.001. *</w:t>
      </w:r>
      <w:r>
        <w:rPr>
          <w:rFonts w:cs="Times New Roman"/>
          <w:i/>
          <w:color w:val="000000" w:themeColor="text1"/>
        </w:rPr>
        <w:t>p</w:t>
      </w:r>
      <w:r>
        <w:rPr>
          <w:rFonts w:cs="Times New Roman"/>
          <w:color w:val="000000"/>
        </w:rPr>
        <w:t xml:space="preserve"> &lt; 0.05; **</w:t>
      </w:r>
      <w:r>
        <w:rPr>
          <w:rFonts w:cs="Times New Roman"/>
          <w:i/>
          <w:color w:val="000000" w:themeColor="text1"/>
        </w:rPr>
        <w:t>p</w:t>
      </w:r>
      <w:r>
        <w:rPr>
          <w:rFonts w:cs="Times New Roman"/>
          <w:i/>
          <w:color w:val="000000"/>
        </w:rPr>
        <w:t xml:space="preserve"> </w:t>
      </w:r>
      <w:r>
        <w:rPr>
          <w:rFonts w:cs="Times New Roman"/>
          <w:color w:val="000000"/>
        </w:rPr>
        <w:t>&lt; 0.01; ***</w:t>
      </w:r>
      <w:r>
        <w:rPr>
          <w:rFonts w:cs="Times New Roman"/>
          <w:i/>
          <w:color w:val="000000" w:themeColor="text1"/>
        </w:rPr>
        <w:t>p</w:t>
      </w:r>
      <w:r>
        <w:rPr>
          <w:rFonts w:cs="Times New Roman"/>
          <w:color w:val="000000"/>
        </w:rPr>
        <w:t xml:space="preserve"> &lt; 0.001. </w:t>
      </w:r>
      <w:r>
        <w:rPr>
          <w:rFonts w:cs="Times New Roman"/>
          <w:color w:val="000000"/>
        </w:rPr>
        <w:br w:type="page"/>
      </w:r>
    </w:p>
    <w:p w14:paraId="587BB257" w14:textId="5CE96BC3" w:rsidR="00EA6AFC" w:rsidRPr="00405AEE" w:rsidRDefault="00AD73F4" w:rsidP="00EA6AFC">
      <w:pPr>
        <w:jc w:val="center"/>
        <w:rPr>
          <w:color w:val="000000" w:themeColor="text1"/>
          <w:lang w:eastAsia="zh-CN"/>
        </w:rPr>
      </w:pPr>
      <w:r>
        <w:rPr>
          <w:rFonts w:ascii="Calibri" w:hAnsi="Calibri" w:cs="Calibri"/>
          <w:noProof/>
          <w:color w:val="365F91" w:themeColor="accent1" w:themeShade="BF"/>
          <w:szCs w:val="21"/>
        </w:rPr>
        <w:lastRenderedPageBreak/>
        <w:drawing>
          <wp:inline distT="0" distB="0" distL="0" distR="0" wp14:anchorId="01D80444" wp14:editId="7BF71F55">
            <wp:extent cx="5752702" cy="2549236"/>
            <wp:effectExtent l="0" t="0" r="635"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729C2EF-A9FC-4889-813C-9D778BA4B8B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3323" cy="2553943"/>
                    </a:xfrm>
                    <a:prstGeom prst="rect">
                      <a:avLst/>
                    </a:prstGeom>
                  </pic:spPr>
                </pic:pic>
              </a:graphicData>
            </a:graphic>
          </wp:inline>
        </w:drawing>
      </w:r>
    </w:p>
    <w:p w14:paraId="1C759730" w14:textId="6C11B8F3" w:rsidR="00EA6AFC" w:rsidRDefault="00254511" w:rsidP="00254511">
      <w:pPr>
        <w:spacing w:line="480" w:lineRule="auto"/>
        <w:rPr>
          <w:rFonts w:cs="Times New Roman"/>
          <w:color w:val="000000" w:themeColor="text1"/>
        </w:rPr>
      </w:pPr>
      <w:r>
        <w:rPr>
          <w:rFonts w:cs="Times New Roman"/>
          <w:b/>
          <w:color w:val="000000"/>
        </w:rPr>
        <w:t>Supplementary Figure 2.</w:t>
      </w:r>
      <w:r>
        <w:rPr>
          <w:rFonts w:cs="Times New Roman"/>
          <w:color w:val="000000"/>
        </w:rPr>
        <w:t xml:space="preserve"> Flow cytometry analysis of the percentage of Kupffer cells (CD45</w:t>
      </w:r>
      <w:r>
        <w:rPr>
          <w:rFonts w:cs="Times New Roman"/>
          <w:color w:val="000000"/>
          <w:vertAlign w:val="superscript"/>
        </w:rPr>
        <w:t>+</w:t>
      </w:r>
      <w:r>
        <w:rPr>
          <w:rFonts w:cs="Times New Roman"/>
          <w:color w:val="000000"/>
        </w:rPr>
        <w:t xml:space="preserve"> CD11b</w:t>
      </w:r>
      <w:r>
        <w:rPr>
          <w:rFonts w:cs="Times New Roman"/>
          <w:color w:val="000000"/>
          <w:vertAlign w:val="superscript"/>
        </w:rPr>
        <w:t>+</w:t>
      </w:r>
      <w:r>
        <w:rPr>
          <w:rFonts w:cs="Times New Roman"/>
          <w:color w:val="000000"/>
        </w:rPr>
        <w:t xml:space="preserve"> F4/80</w:t>
      </w:r>
      <w:r>
        <w:rPr>
          <w:rFonts w:cs="Times New Roman"/>
          <w:color w:val="000000"/>
          <w:vertAlign w:val="superscript"/>
        </w:rPr>
        <w:t>+</w:t>
      </w:r>
      <w:r>
        <w:rPr>
          <w:rFonts w:cs="Times New Roman"/>
          <w:color w:val="000000"/>
        </w:rPr>
        <w:t>) and Ki67</w:t>
      </w:r>
      <w:r>
        <w:rPr>
          <w:rFonts w:cs="Times New Roman"/>
          <w:color w:val="000000"/>
          <w:vertAlign w:val="superscript"/>
        </w:rPr>
        <w:t>+</w:t>
      </w:r>
      <w:r>
        <w:rPr>
          <w:rFonts w:cs="Times New Roman"/>
          <w:color w:val="000000"/>
        </w:rPr>
        <w:t xml:space="preserve"> cells in the liver of control mice, model mice (induced for immunological liver injury), and model animals treated with Jian Gan powder. Data were analyzed by one-way analysis of variance and were expressed as mean ± SEM. *</w:t>
      </w:r>
      <w:r>
        <w:rPr>
          <w:rFonts w:cs="Times New Roman"/>
          <w:i/>
          <w:color w:val="000000" w:themeColor="text1"/>
        </w:rPr>
        <w:t>p</w:t>
      </w:r>
      <w:r>
        <w:rPr>
          <w:rFonts w:cs="Times New Roman"/>
          <w:color w:val="000000"/>
        </w:rPr>
        <w:t xml:space="preserve"> &lt; 0.05, **</w:t>
      </w:r>
      <w:r>
        <w:rPr>
          <w:rFonts w:cs="Times New Roman"/>
          <w:i/>
          <w:color w:val="000000" w:themeColor="text1"/>
        </w:rPr>
        <w:t>p</w:t>
      </w:r>
      <w:r>
        <w:rPr>
          <w:rFonts w:cs="Times New Roman"/>
          <w:color w:val="000000"/>
        </w:rPr>
        <w:t xml:space="preserve"> &lt; 0.01, ***</w:t>
      </w:r>
      <w:r>
        <w:rPr>
          <w:rFonts w:cs="Times New Roman"/>
          <w:i/>
          <w:color w:val="000000" w:themeColor="text1"/>
        </w:rPr>
        <w:t>p</w:t>
      </w:r>
      <w:r>
        <w:rPr>
          <w:rFonts w:cs="Times New Roman"/>
          <w:color w:val="000000"/>
        </w:rPr>
        <w:t xml:space="preserve"> &lt; 0.001. </w:t>
      </w:r>
      <w:r w:rsidR="009B2489" w:rsidRPr="00405AEE">
        <w:rPr>
          <w:rFonts w:cs="Times New Roman"/>
          <w:color w:val="000000" w:themeColor="text1"/>
        </w:rPr>
        <w:br w:type="page"/>
      </w:r>
    </w:p>
    <w:p w14:paraId="395D8B2B" w14:textId="1AD86B50" w:rsidR="00EA6AFC" w:rsidRPr="00405AEE" w:rsidRDefault="00EA6AFC" w:rsidP="00E602C4">
      <w:pPr>
        <w:jc w:val="center"/>
        <w:rPr>
          <w:color w:val="000000" w:themeColor="text1"/>
        </w:rPr>
      </w:pPr>
      <w:r w:rsidRPr="00405AEE">
        <w:rPr>
          <w:rFonts w:hint="eastAsia"/>
          <w:noProof/>
          <w:color w:val="000000" w:themeColor="text1"/>
        </w:rPr>
        <w:drawing>
          <wp:inline distT="0" distB="0" distL="0" distR="0" wp14:anchorId="5F012DF2" wp14:editId="29BADFA7">
            <wp:extent cx="5207000" cy="335299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pd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07000" cy="3352992"/>
                    </a:xfrm>
                    <a:prstGeom prst="rect">
                      <a:avLst/>
                    </a:prstGeom>
                  </pic:spPr>
                </pic:pic>
              </a:graphicData>
            </a:graphic>
          </wp:inline>
        </w:drawing>
      </w:r>
    </w:p>
    <w:p w14:paraId="698CF70A" w14:textId="7EF139C9" w:rsidR="005265C3" w:rsidRDefault="00254511" w:rsidP="00254511">
      <w:pPr>
        <w:spacing w:line="480" w:lineRule="auto"/>
        <w:rPr>
          <w:color w:val="000000" w:themeColor="text1"/>
        </w:rPr>
      </w:pPr>
      <w:r>
        <w:rPr>
          <w:rFonts w:cs="Times New Roman"/>
          <w:b/>
          <w:color w:val="000000"/>
        </w:rPr>
        <w:t xml:space="preserve">Supplementary Figure 3. </w:t>
      </w:r>
      <w:r>
        <w:rPr>
          <w:rFonts w:cs="Times New Roman"/>
          <w:color w:val="000000"/>
        </w:rPr>
        <w:t xml:space="preserve">(A) Species richness in fecal samples from the experimental and control groups (A: normal group; B: model group (induced for immunological liver injury); C: positive control group; D: JGP-L group; E: JGP-M group; F: JGP-H group). (B) Number of OTUs in the experimental and control groups. </w:t>
      </w:r>
      <w:r w:rsidR="00EA6AFC" w:rsidRPr="00405AEE">
        <w:rPr>
          <w:color w:val="000000" w:themeColor="text1"/>
        </w:rPr>
        <w:br w:type="page"/>
      </w:r>
    </w:p>
    <w:p w14:paraId="63799961" w14:textId="69272CF3" w:rsidR="00EA6AFC" w:rsidRPr="00405AEE" w:rsidRDefault="00E336D3" w:rsidP="00E602C4">
      <w:pPr>
        <w:jc w:val="center"/>
        <w:rPr>
          <w:color w:val="000000" w:themeColor="text1"/>
        </w:rPr>
      </w:pPr>
      <w:r w:rsidRPr="00405AEE">
        <w:rPr>
          <w:noProof/>
          <w:color w:val="000000" w:themeColor="text1"/>
        </w:rPr>
        <w:drawing>
          <wp:inline distT="0" distB="0" distL="0" distR="0" wp14:anchorId="1EF4607D" wp14:editId="2E800542">
            <wp:extent cx="5774758" cy="2434456"/>
            <wp:effectExtent l="0" t="0" r="381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ACA505D-D3F1-48E4-A94E-9AD3029818C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74758" cy="2434456"/>
                    </a:xfrm>
                    <a:prstGeom prst="rect">
                      <a:avLst/>
                    </a:prstGeom>
                  </pic:spPr>
                </pic:pic>
              </a:graphicData>
            </a:graphic>
          </wp:inline>
        </w:drawing>
      </w:r>
    </w:p>
    <w:p w14:paraId="0A0A8D40" w14:textId="17B00A68" w:rsidR="00254511" w:rsidRDefault="00254511" w:rsidP="00254511">
      <w:pPr>
        <w:spacing w:line="480" w:lineRule="auto"/>
        <w:rPr>
          <w:rFonts w:cs="Times New Roman"/>
          <w:color w:val="000000"/>
        </w:rPr>
      </w:pPr>
      <w:r>
        <w:rPr>
          <w:rFonts w:cs="Times New Roman"/>
          <w:b/>
          <w:color w:val="000000"/>
        </w:rPr>
        <w:t>Supplementary Figure 4.</w:t>
      </w:r>
      <w:r>
        <w:rPr>
          <w:rFonts w:cs="Times New Roman"/>
          <w:color w:val="000000"/>
        </w:rPr>
        <w:t xml:space="preserve"> (A) Associations between intestinal microbial genera. (B) Spearman correlation coefficients between gut microbial genera. </w:t>
      </w:r>
      <w:r>
        <w:rPr>
          <w:rFonts w:cs="Times New Roman"/>
          <w:color w:val="000000"/>
        </w:rPr>
        <w:br w:type="page"/>
      </w:r>
    </w:p>
    <w:p w14:paraId="0F30C5C4" w14:textId="202DC8AF" w:rsidR="00EA6AFC" w:rsidRDefault="00EA6AFC" w:rsidP="00E602C4">
      <w:pPr>
        <w:jc w:val="center"/>
        <w:rPr>
          <w:rFonts w:ascii="Arial" w:hAnsi="Arial" w:cs="Arial"/>
          <w:b/>
          <w:color w:val="000000" w:themeColor="text1"/>
          <w:sz w:val="21"/>
          <w:szCs w:val="21"/>
        </w:rPr>
      </w:pPr>
      <w:r w:rsidRPr="00405AEE">
        <w:rPr>
          <w:rFonts w:ascii="Arial" w:hAnsi="Arial" w:cs="Arial"/>
          <w:b/>
          <w:noProof/>
          <w:color w:val="000000" w:themeColor="text1"/>
          <w:sz w:val="21"/>
          <w:szCs w:val="21"/>
        </w:rPr>
        <w:drawing>
          <wp:inline distT="0" distB="0" distL="0" distR="0" wp14:anchorId="0C23FDED" wp14:editId="1310C0D8">
            <wp:extent cx="4817782" cy="66050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4.pd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7782" cy="6605025"/>
                    </a:xfrm>
                    <a:prstGeom prst="rect">
                      <a:avLst/>
                    </a:prstGeom>
                  </pic:spPr>
                </pic:pic>
              </a:graphicData>
            </a:graphic>
          </wp:inline>
        </w:drawing>
      </w:r>
    </w:p>
    <w:p w14:paraId="583270EE" w14:textId="0742C970" w:rsidR="00254511" w:rsidRPr="00405AEE" w:rsidRDefault="00254511" w:rsidP="00254511">
      <w:pPr>
        <w:spacing w:line="480" w:lineRule="auto"/>
        <w:rPr>
          <w:rFonts w:ascii="Arial" w:hAnsi="Arial" w:cs="Arial"/>
          <w:b/>
          <w:color w:val="000000" w:themeColor="text1"/>
          <w:sz w:val="21"/>
          <w:szCs w:val="21"/>
        </w:rPr>
      </w:pPr>
      <w:r>
        <w:rPr>
          <w:rFonts w:cs="Times New Roman"/>
          <w:b/>
          <w:color w:val="000000"/>
        </w:rPr>
        <w:t xml:space="preserve">Supplementary Figure 5. </w:t>
      </w:r>
      <w:bookmarkStart w:id="0" w:name="OLE_LINK40"/>
      <w:r>
        <w:rPr>
          <w:rFonts w:cs="Times New Roman"/>
          <w:color w:val="000000"/>
          <w:lang w:bidi="ar"/>
        </w:rPr>
        <w:t>Heatmap (A) and volcano plot (B) of differentially expressed fecal metabolites. (C) Number of upregulated and downregulated fecal metabolites between the normal group and model group (MG, induced for immunological liver injury), JGP-L and MG, JGP-M and MG, and JGP-H and MG</w:t>
      </w:r>
      <w:r>
        <w:rPr>
          <w:rFonts w:cs="Times New Roman"/>
          <w:color w:val="000000"/>
        </w:rPr>
        <w:t>.</w:t>
      </w:r>
      <w:bookmarkEnd w:id="0"/>
    </w:p>
    <w:sectPr w:rsidR="00254511" w:rsidRPr="00405AEE" w:rsidSect="00E93BA4">
      <w:pgSz w:w="11900" w:h="16840" w:code="9"/>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874A8" w14:textId="77777777" w:rsidR="00670D5D" w:rsidRDefault="00670D5D" w:rsidP="00117666">
      <w:pPr>
        <w:spacing w:after="0"/>
      </w:pPr>
      <w:r>
        <w:separator/>
      </w:r>
    </w:p>
  </w:endnote>
  <w:endnote w:type="continuationSeparator" w:id="0">
    <w:p w14:paraId="4BECCA61" w14:textId="77777777" w:rsidR="00670D5D" w:rsidRDefault="00670D5D"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0F31" w14:textId="77777777" w:rsidR="00670D5D" w:rsidRDefault="00670D5D" w:rsidP="00117666">
      <w:pPr>
        <w:spacing w:after="0"/>
      </w:pPr>
      <w:r>
        <w:separator/>
      </w:r>
    </w:p>
  </w:footnote>
  <w:footnote w:type="continuationSeparator" w:id="0">
    <w:p w14:paraId="54D955A1" w14:textId="77777777" w:rsidR="00670D5D" w:rsidRDefault="00670D5D" w:rsidP="001176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160970508">
    <w:abstractNumId w:val="0"/>
  </w:num>
  <w:num w:numId="2" w16cid:durableId="2073774964">
    <w:abstractNumId w:val="4"/>
  </w:num>
  <w:num w:numId="3" w16cid:durableId="1140614087">
    <w:abstractNumId w:val="1"/>
  </w:num>
  <w:num w:numId="4" w16cid:durableId="506407547">
    <w:abstractNumId w:val="5"/>
  </w:num>
  <w:num w:numId="5" w16cid:durableId="162792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9133271">
    <w:abstractNumId w:val="3"/>
  </w:num>
  <w:num w:numId="7" w16cid:durableId="733088058">
    <w:abstractNumId w:val="6"/>
  </w:num>
  <w:num w:numId="8" w16cid:durableId="1663660111">
    <w:abstractNumId w:val="6"/>
  </w:num>
  <w:num w:numId="9" w16cid:durableId="878591696">
    <w:abstractNumId w:val="6"/>
  </w:num>
  <w:num w:numId="10" w16cid:durableId="1218666438">
    <w:abstractNumId w:val="6"/>
  </w:num>
  <w:num w:numId="11" w16cid:durableId="1844278019">
    <w:abstractNumId w:val="6"/>
  </w:num>
  <w:num w:numId="12" w16cid:durableId="1618561222">
    <w:abstractNumId w:val="6"/>
  </w:num>
  <w:num w:numId="13" w16cid:durableId="815608887">
    <w:abstractNumId w:val="3"/>
  </w:num>
  <w:num w:numId="14" w16cid:durableId="139352067">
    <w:abstractNumId w:val="2"/>
  </w:num>
  <w:num w:numId="15" w16cid:durableId="626661422">
    <w:abstractNumId w:val="2"/>
  </w:num>
  <w:num w:numId="16" w16cid:durableId="993337231">
    <w:abstractNumId w:val="2"/>
  </w:num>
  <w:num w:numId="17" w16cid:durableId="1789465225">
    <w:abstractNumId w:val="2"/>
  </w:num>
  <w:num w:numId="18" w16cid:durableId="445540709">
    <w:abstractNumId w:val="2"/>
  </w:num>
  <w:num w:numId="19" w16cid:durableId="924149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720"/>
  <w:evenAndOddHeaders/>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2102D"/>
    <w:rsid w:val="00034304"/>
    <w:rsid w:val="00035434"/>
    <w:rsid w:val="00041AD7"/>
    <w:rsid w:val="00052A14"/>
    <w:rsid w:val="00066C51"/>
    <w:rsid w:val="000727CE"/>
    <w:rsid w:val="00077D53"/>
    <w:rsid w:val="00105FD9"/>
    <w:rsid w:val="0011183D"/>
    <w:rsid w:val="00117666"/>
    <w:rsid w:val="00124F1E"/>
    <w:rsid w:val="001549D3"/>
    <w:rsid w:val="00160065"/>
    <w:rsid w:val="00165BD4"/>
    <w:rsid w:val="00177D84"/>
    <w:rsid w:val="001817FF"/>
    <w:rsid w:val="001855EA"/>
    <w:rsid w:val="0023677E"/>
    <w:rsid w:val="00236A65"/>
    <w:rsid w:val="00254511"/>
    <w:rsid w:val="00267D18"/>
    <w:rsid w:val="00274347"/>
    <w:rsid w:val="002868E2"/>
    <w:rsid w:val="002869C3"/>
    <w:rsid w:val="002936E4"/>
    <w:rsid w:val="002B4A57"/>
    <w:rsid w:val="002C74CA"/>
    <w:rsid w:val="0030044E"/>
    <w:rsid w:val="003123F4"/>
    <w:rsid w:val="00317160"/>
    <w:rsid w:val="00340671"/>
    <w:rsid w:val="003544FB"/>
    <w:rsid w:val="003558C9"/>
    <w:rsid w:val="003635C2"/>
    <w:rsid w:val="00387954"/>
    <w:rsid w:val="003D2F2D"/>
    <w:rsid w:val="00401590"/>
    <w:rsid w:val="00403318"/>
    <w:rsid w:val="00405AEE"/>
    <w:rsid w:val="00447801"/>
    <w:rsid w:val="00452E9C"/>
    <w:rsid w:val="004735C8"/>
    <w:rsid w:val="004747F1"/>
    <w:rsid w:val="004947A6"/>
    <w:rsid w:val="004961FF"/>
    <w:rsid w:val="005049CF"/>
    <w:rsid w:val="00517A89"/>
    <w:rsid w:val="005250F2"/>
    <w:rsid w:val="005265C3"/>
    <w:rsid w:val="00593EEA"/>
    <w:rsid w:val="005A5EEE"/>
    <w:rsid w:val="005C62A3"/>
    <w:rsid w:val="00626F11"/>
    <w:rsid w:val="006375C7"/>
    <w:rsid w:val="00654E8F"/>
    <w:rsid w:val="00660D05"/>
    <w:rsid w:val="00670D5D"/>
    <w:rsid w:val="006753BA"/>
    <w:rsid w:val="006820B1"/>
    <w:rsid w:val="006966B7"/>
    <w:rsid w:val="006B7D14"/>
    <w:rsid w:val="00701727"/>
    <w:rsid w:val="0070566C"/>
    <w:rsid w:val="00714C50"/>
    <w:rsid w:val="00725A7D"/>
    <w:rsid w:val="007501BE"/>
    <w:rsid w:val="00790BB3"/>
    <w:rsid w:val="00797352"/>
    <w:rsid w:val="007C0FFC"/>
    <w:rsid w:val="007C206C"/>
    <w:rsid w:val="008118DA"/>
    <w:rsid w:val="00817DD6"/>
    <w:rsid w:val="00820035"/>
    <w:rsid w:val="008267DB"/>
    <w:rsid w:val="0083759F"/>
    <w:rsid w:val="00885156"/>
    <w:rsid w:val="008906AE"/>
    <w:rsid w:val="008A40C7"/>
    <w:rsid w:val="009120D0"/>
    <w:rsid w:val="009151AA"/>
    <w:rsid w:val="0093429D"/>
    <w:rsid w:val="00943573"/>
    <w:rsid w:val="00964134"/>
    <w:rsid w:val="00970F7D"/>
    <w:rsid w:val="00994A3D"/>
    <w:rsid w:val="009B2489"/>
    <w:rsid w:val="009C2B12"/>
    <w:rsid w:val="009D4FE7"/>
    <w:rsid w:val="00A174D9"/>
    <w:rsid w:val="00A51FC2"/>
    <w:rsid w:val="00A85E21"/>
    <w:rsid w:val="00AA4D24"/>
    <w:rsid w:val="00AB6715"/>
    <w:rsid w:val="00AD73F4"/>
    <w:rsid w:val="00AF1B2E"/>
    <w:rsid w:val="00B1671E"/>
    <w:rsid w:val="00B25EB8"/>
    <w:rsid w:val="00B26FF0"/>
    <w:rsid w:val="00B37F4D"/>
    <w:rsid w:val="00BD009C"/>
    <w:rsid w:val="00BE6BD3"/>
    <w:rsid w:val="00C05F09"/>
    <w:rsid w:val="00C52A7B"/>
    <w:rsid w:val="00C55FB8"/>
    <w:rsid w:val="00C56BAF"/>
    <w:rsid w:val="00C679AA"/>
    <w:rsid w:val="00C75972"/>
    <w:rsid w:val="00CB7BB7"/>
    <w:rsid w:val="00CD066B"/>
    <w:rsid w:val="00CE4FEE"/>
    <w:rsid w:val="00D060CF"/>
    <w:rsid w:val="00D7191B"/>
    <w:rsid w:val="00D86DC0"/>
    <w:rsid w:val="00DB59C3"/>
    <w:rsid w:val="00DC259A"/>
    <w:rsid w:val="00DE23E8"/>
    <w:rsid w:val="00E03D14"/>
    <w:rsid w:val="00E23DAE"/>
    <w:rsid w:val="00E336D3"/>
    <w:rsid w:val="00E52377"/>
    <w:rsid w:val="00E537AD"/>
    <w:rsid w:val="00E602C4"/>
    <w:rsid w:val="00E64E17"/>
    <w:rsid w:val="00E67D88"/>
    <w:rsid w:val="00E866C9"/>
    <w:rsid w:val="00E93BA4"/>
    <w:rsid w:val="00EA3D3C"/>
    <w:rsid w:val="00EA6AFC"/>
    <w:rsid w:val="00EC090A"/>
    <w:rsid w:val="00ED20B5"/>
    <w:rsid w:val="00F42CA9"/>
    <w:rsid w:val="00F46900"/>
    <w:rsid w:val="00F61D89"/>
    <w:rsid w:val="00FF1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character" w:styleId="aff8">
    <w:name w:val="page number"/>
    <w:basedOn w:val="a1"/>
    <w:uiPriority w:val="99"/>
    <w:semiHidden/>
    <w:unhideWhenUsed/>
    <w:rsid w:val="0030044E"/>
  </w:style>
  <w:style w:type="paragraph" w:styleId="aff9">
    <w:name w:val="Revision"/>
    <w:hidden/>
    <w:uiPriority w:val="99"/>
    <w:semiHidden/>
    <w:rsid w:val="000210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3956">
      <w:bodyDiv w:val="1"/>
      <w:marLeft w:val="0"/>
      <w:marRight w:val="0"/>
      <w:marTop w:val="0"/>
      <w:marBottom w:val="0"/>
      <w:divBdr>
        <w:top w:val="none" w:sz="0" w:space="0" w:color="auto"/>
        <w:left w:val="none" w:sz="0" w:space="0" w:color="auto"/>
        <w:bottom w:val="none" w:sz="0" w:space="0" w:color="auto"/>
        <w:right w:val="none" w:sz="0" w:space="0" w:color="auto"/>
      </w:divBdr>
      <w:divsChild>
        <w:div w:id="207645977">
          <w:marLeft w:val="0"/>
          <w:marRight w:val="0"/>
          <w:marTop w:val="0"/>
          <w:marBottom w:val="0"/>
          <w:divBdr>
            <w:top w:val="none" w:sz="0" w:space="0" w:color="auto"/>
            <w:left w:val="none" w:sz="0" w:space="0" w:color="auto"/>
            <w:bottom w:val="none" w:sz="0" w:space="0" w:color="auto"/>
            <w:right w:val="none" w:sz="0" w:space="0" w:color="auto"/>
          </w:divBdr>
          <w:divsChild>
            <w:div w:id="1136794433">
              <w:marLeft w:val="0"/>
              <w:marRight w:val="0"/>
              <w:marTop w:val="0"/>
              <w:marBottom w:val="0"/>
              <w:divBdr>
                <w:top w:val="none" w:sz="0" w:space="0" w:color="auto"/>
                <w:left w:val="none" w:sz="0" w:space="0" w:color="auto"/>
                <w:bottom w:val="none" w:sz="0" w:space="0" w:color="auto"/>
                <w:right w:val="none" w:sz="0" w:space="0" w:color="auto"/>
              </w:divBdr>
              <w:divsChild>
                <w:div w:id="12408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374694955">
      <w:bodyDiv w:val="1"/>
      <w:marLeft w:val="0"/>
      <w:marRight w:val="0"/>
      <w:marTop w:val="0"/>
      <w:marBottom w:val="0"/>
      <w:divBdr>
        <w:top w:val="none" w:sz="0" w:space="0" w:color="auto"/>
        <w:left w:val="none" w:sz="0" w:space="0" w:color="auto"/>
        <w:bottom w:val="none" w:sz="0" w:space="0" w:color="auto"/>
        <w:right w:val="none" w:sz="0" w:space="0" w:color="auto"/>
      </w:divBdr>
      <w:divsChild>
        <w:div w:id="523597299">
          <w:marLeft w:val="0"/>
          <w:marRight w:val="0"/>
          <w:marTop w:val="0"/>
          <w:marBottom w:val="0"/>
          <w:divBdr>
            <w:top w:val="none" w:sz="0" w:space="0" w:color="auto"/>
            <w:left w:val="none" w:sz="0" w:space="0" w:color="auto"/>
            <w:bottom w:val="none" w:sz="0" w:space="0" w:color="auto"/>
            <w:right w:val="none" w:sz="0" w:space="0" w:color="auto"/>
          </w:divBdr>
          <w:divsChild>
            <w:div w:id="1762601020">
              <w:marLeft w:val="0"/>
              <w:marRight w:val="0"/>
              <w:marTop w:val="0"/>
              <w:marBottom w:val="0"/>
              <w:divBdr>
                <w:top w:val="none" w:sz="0" w:space="0" w:color="auto"/>
                <w:left w:val="none" w:sz="0" w:space="0" w:color="auto"/>
                <w:bottom w:val="none" w:sz="0" w:space="0" w:color="auto"/>
                <w:right w:val="none" w:sz="0" w:space="0" w:color="auto"/>
              </w:divBdr>
              <w:divsChild>
                <w:div w:id="462693117">
                  <w:marLeft w:val="0"/>
                  <w:marRight w:val="0"/>
                  <w:marTop w:val="0"/>
                  <w:marBottom w:val="0"/>
                  <w:divBdr>
                    <w:top w:val="none" w:sz="0" w:space="0" w:color="auto"/>
                    <w:left w:val="none" w:sz="0" w:space="0" w:color="auto"/>
                    <w:bottom w:val="none" w:sz="0" w:space="0" w:color="auto"/>
                    <w:right w:val="none" w:sz="0" w:space="0" w:color="auto"/>
                  </w:divBdr>
                  <w:divsChild>
                    <w:div w:id="12104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643605">
      <w:bodyDiv w:val="1"/>
      <w:marLeft w:val="0"/>
      <w:marRight w:val="0"/>
      <w:marTop w:val="0"/>
      <w:marBottom w:val="0"/>
      <w:divBdr>
        <w:top w:val="none" w:sz="0" w:space="0" w:color="auto"/>
        <w:left w:val="none" w:sz="0" w:space="0" w:color="auto"/>
        <w:bottom w:val="none" w:sz="0" w:space="0" w:color="auto"/>
        <w:right w:val="none" w:sz="0" w:space="0" w:color="auto"/>
      </w:divBdr>
      <w:divsChild>
        <w:div w:id="816267443">
          <w:marLeft w:val="0"/>
          <w:marRight w:val="0"/>
          <w:marTop w:val="0"/>
          <w:marBottom w:val="0"/>
          <w:divBdr>
            <w:top w:val="none" w:sz="0" w:space="0" w:color="auto"/>
            <w:left w:val="none" w:sz="0" w:space="0" w:color="auto"/>
            <w:bottom w:val="none" w:sz="0" w:space="0" w:color="auto"/>
            <w:right w:val="none" w:sz="0" w:space="0" w:color="auto"/>
          </w:divBdr>
          <w:divsChild>
            <w:div w:id="916981722">
              <w:marLeft w:val="0"/>
              <w:marRight w:val="0"/>
              <w:marTop w:val="0"/>
              <w:marBottom w:val="0"/>
              <w:divBdr>
                <w:top w:val="none" w:sz="0" w:space="0" w:color="auto"/>
                <w:left w:val="none" w:sz="0" w:space="0" w:color="auto"/>
                <w:bottom w:val="none" w:sz="0" w:space="0" w:color="auto"/>
                <w:right w:val="none" w:sz="0" w:space="0" w:color="auto"/>
              </w:divBdr>
              <w:divsChild>
                <w:div w:id="1524708250">
                  <w:marLeft w:val="0"/>
                  <w:marRight w:val="0"/>
                  <w:marTop w:val="0"/>
                  <w:marBottom w:val="0"/>
                  <w:divBdr>
                    <w:top w:val="none" w:sz="0" w:space="0" w:color="auto"/>
                    <w:left w:val="none" w:sz="0" w:space="0" w:color="auto"/>
                    <w:bottom w:val="none" w:sz="0" w:space="0" w:color="auto"/>
                    <w:right w:val="none" w:sz="0" w:space="0" w:color="auto"/>
                  </w:divBdr>
                  <w:divsChild>
                    <w:div w:id="19179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710454">
      <w:bodyDiv w:val="1"/>
      <w:marLeft w:val="0"/>
      <w:marRight w:val="0"/>
      <w:marTop w:val="0"/>
      <w:marBottom w:val="0"/>
      <w:divBdr>
        <w:top w:val="none" w:sz="0" w:space="0" w:color="auto"/>
        <w:left w:val="none" w:sz="0" w:space="0" w:color="auto"/>
        <w:bottom w:val="none" w:sz="0" w:space="0" w:color="auto"/>
        <w:right w:val="none" w:sz="0" w:space="0" w:color="auto"/>
      </w:divBdr>
      <w:divsChild>
        <w:div w:id="780682196">
          <w:marLeft w:val="0"/>
          <w:marRight w:val="0"/>
          <w:marTop w:val="0"/>
          <w:marBottom w:val="0"/>
          <w:divBdr>
            <w:top w:val="none" w:sz="0" w:space="0" w:color="auto"/>
            <w:left w:val="none" w:sz="0" w:space="0" w:color="auto"/>
            <w:bottom w:val="none" w:sz="0" w:space="0" w:color="auto"/>
            <w:right w:val="none" w:sz="0" w:space="0" w:color="auto"/>
          </w:divBdr>
          <w:divsChild>
            <w:div w:id="962464423">
              <w:marLeft w:val="0"/>
              <w:marRight w:val="0"/>
              <w:marTop w:val="0"/>
              <w:marBottom w:val="0"/>
              <w:divBdr>
                <w:top w:val="none" w:sz="0" w:space="0" w:color="auto"/>
                <w:left w:val="none" w:sz="0" w:space="0" w:color="auto"/>
                <w:bottom w:val="none" w:sz="0" w:space="0" w:color="auto"/>
                <w:right w:val="none" w:sz="0" w:space="0" w:color="auto"/>
              </w:divBdr>
              <w:divsChild>
                <w:div w:id="4752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B0EA354-6D85-CC47-8DE2-910EC2F0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5</TotalTime>
  <Pages>5</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Editor</cp:lastModifiedBy>
  <cp:revision>4</cp:revision>
  <cp:lastPrinted>2013-10-03T12:51:00Z</cp:lastPrinted>
  <dcterms:created xsi:type="dcterms:W3CDTF">2023-05-09T10:54:00Z</dcterms:created>
  <dcterms:modified xsi:type="dcterms:W3CDTF">2023-08-12T06:04:00Z</dcterms:modified>
</cp:coreProperties>
</file>