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5C5C" w14:textId="77777777" w:rsidR="0058680E" w:rsidRPr="000D7879" w:rsidRDefault="0058680E" w:rsidP="000D7879">
      <w:pPr>
        <w:spacing w:before="0" w:after="0" w:line="480" w:lineRule="auto"/>
        <w:rPr>
          <w:rFonts w:eastAsia="宋体" w:cs="Times New Roman"/>
          <w:szCs w:val="24"/>
        </w:rPr>
      </w:pPr>
      <w:r w:rsidRPr="000D7879">
        <w:rPr>
          <w:rFonts w:eastAsia="宋体" w:cs="Times New Roman"/>
          <w:b/>
          <w:bCs/>
          <w:szCs w:val="24"/>
        </w:rPr>
        <w:t xml:space="preserve">Table </w:t>
      </w:r>
      <w:r w:rsidRPr="000D7879">
        <w:rPr>
          <w:rFonts w:eastAsia="宋体" w:cs="Times New Roman" w:hint="eastAsia"/>
          <w:b/>
          <w:bCs/>
          <w:szCs w:val="24"/>
          <w:lang w:eastAsia="zh-CN"/>
        </w:rPr>
        <w:t>S</w:t>
      </w:r>
      <w:proofErr w:type="gramStart"/>
      <w:r w:rsidRPr="000D7879">
        <w:rPr>
          <w:rFonts w:eastAsia="宋体" w:cs="Times New Roman"/>
          <w:b/>
          <w:bCs/>
          <w:szCs w:val="24"/>
        </w:rPr>
        <w:t>1</w:t>
      </w:r>
      <w:r w:rsidRPr="000D7879">
        <w:rPr>
          <w:rFonts w:eastAsia="宋体" w:cs="Times New Roman"/>
          <w:szCs w:val="24"/>
        </w:rPr>
        <w:t xml:space="preserve">  The</w:t>
      </w:r>
      <w:proofErr w:type="gramEnd"/>
      <w:r w:rsidRPr="000D7879">
        <w:rPr>
          <w:rFonts w:eastAsia="宋体" w:cs="Times New Roman"/>
          <w:szCs w:val="24"/>
        </w:rPr>
        <w:t xml:space="preserve"> top 10 papers with the highest LCS in the field of post-MI HF (2012-2022)</w:t>
      </w:r>
    </w:p>
    <w:tbl>
      <w:tblPr>
        <w:tblStyle w:val="af2"/>
        <w:tblW w:w="14601" w:type="dxa"/>
        <w:jc w:val="center"/>
        <w:tblLook w:val="04A0" w:firstRow="1" w:lastRow="0" w:firstColumn="1" w:lastColumn="0" w:noHBand="0" w:noVBand="1"/>
      </w:tblPr>
      <w:tblGrid>
        <w:gridCol w:w="716"/>
        <w:gridCol w:w="6902"/>
        <w:gridCol w:w="1675"/>
        <w:gridCol w:w="1952"/>
        <w:gridCol w:w="636"/>
        <w:gridCol w:w="1160"/>
        <w:gridCol w:w="1560"/>
      </w:tblGrid>
      <w:tr w:rsidR="0058680E" w:rsidRPr="00212677" w14:paraId="5BD7E65D" w14:textId="77777777" w:rsidTr="005868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16" w:type="dxa"/>
            <w:vAlign w:val="center"/>
          </w:tcPr>
          <w:p w14:paraId="237716AE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bookmarkStart w:id="0" w:name="_Hlk150190486"/>
            <w:r w:rsidRPr="00212677">
              <w:rPr>
                <w:rFonts w:eastAsia="宋体" w:cs="Times New Roman"/>
                <w:sz w:val="21"/>
                <w:szCs w:val="21"/>
              </w:rPr>
              <w:t>Rank</w:t>
            </w:r>
          </w:p>
        </w:tc>
        <w:tc>
          <w:tcPr>
            <w:tcW w:w="6902" w:type="dxa"/>
            <w:vAlign w:val="center"/>
          </w:tcPr>
          <w:p w14:paraId="2AADE236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Title</w:t>
            </w:r>
          </w:p>
        </w:tc>
        <w:tc>
          <w:tcPr>
            <w:tcW w:w="1675" w:type="dxa"/>
            <w:vAlign w:val="center"/>
          </w:tcPr>
          <w:p w14:paraId="6BCBF2A7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First author</w:t>
            </w:r>
          </w:p>
        </w:tc>
        <w:tc>
          <w:tcPr>
            <w:tcW w:w="1952" w:type="dxa"/>
            <w:vAlign w:val="center"/>
          </w:tcPr>
          <w:p w14:paraId="0A28E3FC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Journal</w:t>
            </w:r>
          </w:p>
        </w:tc>
        <w:tc>
          <w:tcPr>
            <w:tcW w:w="636" w:type="dxa"/>
            <w:vAlign w:val="center"/>
          </w:tcPr>
          <w:p w14:paraId="5DBF0300" w14:textId="77777777" w:rsidR="0058680E" w:rsidRPr="00212677" w:rsidRDefault="0058680E" w:rsidP="0058680E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Year</w:t>
            </w:r>
          </w:p>
        </w:tc>
        <w:tc>
          <w:tcPr>
            <w:tcW w:w="1160" w:type="dxa"/>
            <w:vAlign w:val="center"/>
          </w:tcPr>
          <w:p w14:paraId="03E309A5" w14:textId="77777777" w:rsidR="0058680E" w:rsidRPr="00212677" w:rsidRDefault="0058680E" w:rsidP="0058680E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LC</w:t>
            </w:r>
            <w:r>
              <w:rPr>
                <w:rFonts w:eastAsia="宋体" w:cs="Times New Roman"/>
                <w:sz w:val="21"/>
                <w:szCs w:val="21"/>
              </w:rPr>
              <w:t>S</w:t>
            </w:r>
          </w:p>
        </w:tc>
        <w:tc>
          <w:tcPr>
            <w:tcW w:w="1560" w:type="dxa"/>
            <w:vAlign w:val="center"/>
          </w:tcPr>
          <w:p w14:paraId="37F5AEF9" w14:textId="3923858C" w:rsidR="0058680E" w:rsidRPr="00212677" w:rsidRDefault="0058680E" w:rsidP="0058680E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Average</w:t>
            </w:r>
          </w:p>
          <w:p w14:paraId="67464A7D" w14:textId="22C72853" w:rsidR="0058680E" w:rsidRPr="00212677" w:rsidRDefault="0058680E" w:rsidP="0058680E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citations</w:t>
            </w:r>
          </w:p>
          <w:p w14:paraId="0EA49AEB" w14:textId="77777777" w:rsidR="0058680E" w:rsidRPr="00212677" w:rsidRDefault="0058680E" w:rsidP="0058680E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per year</w:t>
            </w:r>
          </w:p>
        </w:tc>
      </w:tr>
      <w:tr w:rsidR="0058680E" w:rsidRPr="00212677" w14:paraId="77AAC138" w14:textId="77777777" w:rsidTr="0058680E">
        <w:trPr>
          <w:jc w:val="center"/>
        </w:trPr>
        <w:tc>
          <w:tcPr>
            <w:tcW w:w="716" w:type="dxa"/>
            <w:vAlign w:val="center"/>
          </w:tcPr>
          <w:p w14:paraId="04AD5215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6902" w:type="dxa"/>
            <w:vAlign w:val="center"/>
          </w:tcPr>
          <w:p w14:paraId="0832B05F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Diagnoses and timing of 30-day readmissions after hospitalization for heart failure, acute myocardial infarction, or pneumonia</w:t>
            </w:r>
          </w:p>
        </w:tc>
        <w:tc>
          <w:tcPr>
            <w:tcW w:w="1675" w:type="dxa"/>
            <w:vAlign w:val="center"/>
          </w:tcPr>
          <w:p w14:paraId="1BA4DD98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212677">
              <w:rPr>
                <w:rFonts w:cs="Times New Roman"/>
                <w:sz w:val="21"/>
                <w:szCs w:val="21"/>
              </w:rPr>
              <w:t>Dharmarajan</w:t>
            </w:r>
            <w:proofErr w:type="spellEnd"/>
            <w:r w:rsidRPr="00212677">
              <w:rPr>
                <w:rFonts w:cs="Times New Roman"/>
                <w:sz w:val="21"/>
                <w:szCs w:val="21"/>
              </w:rPr>
              <w:t xml:space="preserve">, Kumar </w:t>
            </w:r>
          </w:p>
        </w:tc>
        <w:tc>
          <w:tcPr>
            <w:tcW w:w="1952" w:type="dxa"/>
            <w:vAlign w:val="center"/>
          </w:tcPr>
          <w:p w14:paraId="1ED5C2B9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JAMA</w:t>
            </w:r>
          </w:p>
        </w:tc>
        <w:tc>
          <w:tcPr>
            <w:tcW w:w="636" w:type="dxa"/>
            <w:vAlign w:val="center"/>
          </w:tcPr>
          <w:p w14:paraId="099BF705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2013</w:t>
            </w:r>
          </w:p>
        </w:tc>
        <w:tc>
          <w:tcPr>
            <w:tcW w:w="1160" w:type="dxa"/>
            <w:vAlign w:val="center"/>
          </w:tcPr>
          <w:p w14:paraId="3F603D0E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104</w:t>
            </w:r>
          </w:p>
        </w:tc>
        <w:tc>
          <w:tcPr>
            <w:tcW w:w="1560" w:type="dxa"/>
            <w:vAlign w:val="center"/>
          </w:tcPr>
          <w:p w14:paraId="6A130B70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11.56 </w:t>
            </w:r>
          </w:p>
        </w:tc>
      </w:tr>
      <w:tr w:rsidR="0058680E" w:rsidRPr="00212677" w14:paraId="1CD463C3" w14:textId="77777777" w:rsidTr="0058680E">
        <w:trPr>
          <w:jc w:val="center"/>
        </w:trPr>
        <w:tc>
          <w:tcPr>
            <w:tcW w:w="716" w:type="dxa"/>
            <w:vAlign w:val="center"/>
          </w:tcPr>
          <w:p w14:paraId="6CC37302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6902" w:type="dxa"/>
            <w:vAlign w:val="center"/>
          </w:tcPr>
          <w:p w14:paraId="212002B3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Intracoronary </w:t>
            </w:r>
            <w:proofErr w:type="spellStart"/>
            <w:r w:rsidRPr="00212677">
              <w:rPr>
                <w:rFonts w:cs="Times New Roman"/>
                <w:sz w:val="21"/>
                <w:szCs w:val="21"/>
              </w:rPr>
              <w:t>cardiosphere</w:t>
            </w:r>
            <w:proofErr w:type="spellEnd"/>
            <w:r w:rsidRPr="00212677">
              <w:rPr>
                <w:rFonts w:cs="Times New Roman"/>
                <w:sz w:val="21"/>
                <w:szCs w:val="21"/>
              </w:rPr>
              <w:t xml:space="preserve">-derived cells for heart regeneration after myocardial infarction (CADUCEUS): a prospective, </w:t>
            </w:r>
            <w:proofErr w:type="spellStart"/>
            <w:r w:rsidRPr="00212677">
              <w:rPr>
                <w:rFonts w:cs="Times New Roman"/>
                <w:sz w:val="21"/>
                <w:szCs w:val="21"/>
              </w:rPr>
              <w:t>randomised</w:t>
            </w:r>
            <w:proofErr w:type="spellEnd"/>
            <w:r w:rsidRPr="00212677">
              <w:rPr>
                <w:rFonts w:cs="Times New Roman"/>
                <w:sz w:val="21"/>
                <w:szCs w:val="21"/>
              </w:rPr>
              <w:t xml:space="preserve"> phase 1 trial</w:t>
            </w:r>
          </w:p>
        </w:tc>
        <w:tc>
          <w:tcPr>
            <w:tcW w:w="1675" w:type="dxa"/>
            <w:vAlign w:val="center"/>
          </w:tcPr>
          <w:p w14:paraId="641440F3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Makkar, Raj R</w:t>
            </w:r>
          </w:p>
        </w:tc>
        <w:tc>
          <w:tcPr>
            <w:tcW w:w="1952" w:type="dxa"/>
            <w:vAlign w:val="center"/>
          </w:tcPr>
          <w:p w14:paraId="780CA5C2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LANCET</w:t>
            </w:r>
          </w:p>
        </w:tc>
        <w:tc>
          <w:tcPr>
            <w:tcW w:w="636" w:type="dxa"/>
            <w:vAlign w:val="center"/>
          </w:tcPr>
          <w:p w14:paraId="183FEA81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2012</w:t>
            </w:r>
          </w:p>
        </w:tc>
        <w:tc>
          <w:tcPr>
            <w:tcW w:w="1160" w:type="dxa"/>
            <w:vAlign w:val="center"/>
          </w:tcPr>
          <w:p w14:paraId="67142769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92</w:t>
            </w:r>
          </w:p>
        </w:tc>
        <w:tc>
          <w:tcPr>
            <w:tcW w:w="1560" w:type="dxa"/>
            <w:vAlign w:val="center"/>
          </w:tcPr>
          <w:p w14:paraId="0B38CB1A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9.20 </w:t>
            </w:r>
          </w:p>
        </w:tc>
      </w:tr>
      <w:tr w:rsidR="0058680E" w:rsidRPr="00212677" w14:paraId="5CAB3227" w14:textId="77777777" w:rsidTr="0058680E">
        <w:trPr>
          <w:jc w:val="center"/>
        </w:trPr>
        <w:tc>
          <w:tcPr>
            <w:tcW w:w="716" w:type="dxa"/>
            <w:vAlign w:val="center"/>
          </w:tcPr>
          <w:p w14:paraId="1B03F5FA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6902" w:type="dxa"/>
            <w:vAlign w:val="center"/>
          </w:tcPr>
          <w:p w14:paraId="02002BE6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Prediction of all-cause mortality and heart failure admissions from global left ventricular longitudinal strain in patients with acute myocardial infarction and preserved left ventricular ejection fraction</w:t>
            </w:r>
          </w:p>
        </w:tc>
        <w:tc>
          <w:tcPr>
            <w:tcW w:w="1675" w:type="dxa"/>
            <w:vAlign w:val="center"/>
          </w:tcPr>
          <w:p w14:paraId="5BA0D33F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Ersbøll, Mads</w:t>
            </w:r>
          </w:p>
        </w:tc>
        <w:tc>
          <w:tcPr>
            <w:tcW w:w="1952" w:type="dxa"/>
            <w:vAlign w:val="center"/>
          </w:tcPr>
          <w:p w14:paraId="43D4F6AC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JACC</w:t>
            </w:r>
          </w:p>
        </w:tc>
        <w:tc>
          <w:tcPr>
            <w:tcW w:w="636" w:type="dxa"/>
            <w:vAlign w:val="center"/>
          </w:tcPr>
          <w:p w14:paraId="5C080CB5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2013</w:t>
            </w:r>
          </w:p>
        </w:tc>
        <w:tc>
          <w:tcPr>
            <w:tcW w:w="1160" w:type="dxa"/>
            <w:vAlign w:val="center"/>
          </w:tcPr>
          <w:p w14:paraId="3BDC6EFF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58</w:t>
            </w:r>
          </w:p>
        </w:tc>
        <w:tc>
          <w:tcPr>
            <w:tcW w:w="1560" w:type="dxa"/>
            <w:vAlign w:val="center"/>
          </w:tcPr>
          <w:p w14:paraId="129AEE0D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6.44 </w:t>
            </w:r>
          </w:p>
        </w:tc>
      </w:tr>
      <w:tr w:rsidR="0058680E" w:rsidRPr="00212677" w14:paraId="72808B42" w14:textId="77777777" w:rsidTr="0058680E">
        <w:trPr>
          <w:jc w:val="center"/>
        </w:trPr>
        <w:tc>
          <w:tcPr>
            <w:tcW w:w="716" w:type="dxa"/>
            <w:vAlign w:val="center"/>
          </w:tcPr>
          <w:p w14:paraId="2EAFDC4F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4</w:t>
            </w:r>
          </w:p>
        </w:tc>
        <w:tc>
          <w:tcPr>
            <w:tcW w:w="6902" w:type="dxa"/>
            <w:vAlign w:val="center"/>
          </w:tcPr>
          <w:p w14:paraId="2BA389E2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Relationship Between Infarct Size and Outcomes Following Primary PCI: Patient-Level Analysis From 10 Randomized Trials</w:t>
            </w:r>
          </w:p>
        </w:tc>
        <w:tc>
          <w:tcPr>
            <w:tcW w:w="1675" w:type="dxa"/>
            <w:vAlign w:val="center"/>
          </w:tcPr>
          <w:p w14:paraId="3BED6C02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Stone, Gregg W</w:t>
            </w:r>
          </w:p>
        </w:tc>
        <w:tc>
          <w:tcPr>
            <w:tcW w:w="1952" w:type="dxa"/>
            <w:vAlign w:val="center"/>
          </w:tcPr>
          <w:p w14:paraId="1E555874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JACC</w:t>
            </w:r>
          </w:p>
        </w:tc>
        <w:tc>
          <w:tcPr>
            <w:tcW w:w="636" w:type="dxa"/>
            <w:vAlign w:val="center"/>
          </w:tcPr>
          <w:p w14:paraId="4B2F17CE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2016</w:t>
            </w:r>
          </w:p>
        </w:tc>
        <w:tc>
          <w:tcPr>
            <w:tcW w:w="1160" w:type="dxa"/>
            <w:vAlign w:val="center"/>
          </w:tcPr>
          <w:p w14:paraId="68B1267B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55</w:t>
            </w:r>
          </w:p>
        </w:tc>
        <w:tc>
          <w:tcPr>
            <w:tcW w:w="1560" w:type="dxa"/>
            <w:vAlign w:val="center"/>
          </w:tcPr>
          <w:p w14:paraId="6F1E250E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9.17 </w:t>
            </w:r>
          </w:p>
        </w:tc>
      </w:tr>
      <w:tr w:rsidR="0058680E" w:rsidRPr="00212677" w14:paraId="2716987E" w14:textId="77777777" w:rsidTr="0058680E">
        <w:trPr>
          <w:jc w:val="center"/>
        </w:trPr>
        <w:tc>
          <w:tcPr>
            <w:tcW w:w="716" w:type="dxa"/>
            <w:vAlign w:val="center"/>
          </w:tcPr>
          <w:p w14:paraId="486B68E0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5</w:t>
            </w:r>
          </w:p>
        </w:tc>
        <w:tc>
          <w:tcPr>
            <w:tcW w:w="6902" w:type="dxa"/>
            <w:vAlign w:val="center"/>
          </w:tcPr>
          <w:p w14:paraId="5BA323A1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Short- and long-term cause of death in patients treated with primary PCI for STEMI</w:t>
            </w:r>
          </w:p>
        </w:tc>
        <w:tc>
          <w:tcPr>
            <w:tcW w:w="1675" w:type="dxa"/>
            <w:vAlign w:val="center"/>
          </w:tcPr>
          <w:p w14:paraId="1C9AB18E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Pedersen, Frants </w:t>
            </w:r>
          </w:p>
        </w:tc>
        <w:tc>
          <w:tcPr>
            <w:tcW w:w="1952" w:type="dxa"/>
            <w:vAlign w:val="center"/>
          </w:tcPr>
          <w:p w14:paraId="759A54CC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JACC</w:t>
            </w:r>
          </w:p>
        </w:tc>
        <w:tc>
          <w:tcPr>
            <w:tcW w:w="636" w:type="dxa"/>
            <w:vAlign w:val="center"/>
          </w:tcPr>
          <w:p w14:paraId="3CB40980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2014</w:t>
            </w:r>
          </w:p>
        </w:tc>
        <w:tc>
          <w:tcPr>
            <w:tcW w:w="1160" w:type="dxa"/>
            <w:vAlign w:val="center"/>
          </w:tcPr>
          <w:p w14:paraId="61DD42D9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48</w:t>
            </w:r>
          </w:p>
        </w:tc>
        <w:tc>
          <w:tcPr>
            <w:tcW w:w="1560" w:type="dxa"/>
            <w:vAlign w:val="center"/>
          </w:tcPr>
          <w:p w14:paraId="005A6663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6.00 </w:t>
            </w:r>
          </w:p>
        </w:tc>
      </w:tr>
      <w:tr w:rsidR="0058680E" w:rsidRPr="00212677" w14:paraId="76C38BD5" w14:textId="77777777" w:rsidTr="0058680E">
        <w:trPr>
          <w:jc w:val="center"/>
        </w:trPr>
        <w:tc>
          <w:tcPr>
            <w:tcW w:w="716" w:type="dxa"/>
            <w:vAlign w:val="center"/>
          </w:tcPr>
          <w:p w14:paraId="28E4D9EA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6</w:t>
            </w:r>
          </w:p>
        </w:tc>
        <w:tc>
          <w:tcPr>
            <w:tcW w:w="6902" w:type="dxa"/>
            <w:vAlign w:val="center"/>
          </w:tcPr>
          <w:p w14:paraId="6E88BA73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National trends in heart failure hospitalization after acute myocardial infarction for Medicare beneficiaries: 1998-2010</w:t>
            </w:r>
          </w:p>
        </w:tc>
        <w:tc>
          <w:tcPr>
            <w:tcW w:w="1675" w:type="dxa"/>
            <w:vAlign w:val="center"/>
          </w:tcPr>
          <w:p w14:paraId="0E65C2D2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Chen, Jersey</w:t>
            </w:r>
          </w:p>
        </w:tc>
        <w:tc>
          <w:tcPr>
            <w:tcW w:w="1952" w:type="dxa"/>
            <w:vAlign w:val="center"/>
          </w:tcPr>
          <w:p w14:paraId="70EF9B46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CIRCULATION</w:t>
            </w:r>
          </w:p>
        </w:tc>
        <w:tc>
          <w:tcPr>
            <w:tcW w:w="636" w:type="dxa"/>
            <w:vAlign w:val="center"/>
          </w:tcPr>
          <w:p w14:paraId="3324B3FB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2013</w:t>
            </w:r>
          </w:p>
        </w:tc>
        <w:tc>
          <w:tcPr>
            <w:tcW w:w="1160" w:type="dxa"/>
            <w:vAlign w:val="center"/>
          </w:tcPr>
          <w:p w14:paraId="22197F39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44</w:t>
            </w:r>
          </w:p>
        </w:tc>
        <w:tc>
          <w:tcPr>
            <w:tcW w:w="1560" w:type="dxa"/>
            <w:vAlign w:val="center"/>
          </w:tcPr>
          <w:p w14:paraId="47327BC8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4.89 </w:t>
            </w:r>
          </w:p>
        </w:tc>
      </w:tr>
      <w:tr w:rsidR="0058680E" w:rsidRPr="00212677" w14:paraId="29BEEC23" w14:textId="77777777" w:rsidTr="0058680E">
        <w:trPr>
          <w:jc w:val="center"/>
        </w:trPr>
        <w:tc>
          <w:tcPr>
            <w:tcW w:w="716" w:type="dxa"/>
            <w:vAlign w:val="center"/>
          </w:tcPr>
          <w:p w14:paraId="46D864F6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7</w:t>
            </w:r>
          </w:p>
        </w:tc>
        <w:tc>
          <w:tcPr>
            <w:tcW w:w="6902" w:type="dxa"/>
            <w:vAlign w:val="center"/>
          </w:tcPr>
          <w:p w14:paraId="76A6117F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Temporal dynamics of cardiac immune cell accumulation following acute myocardial infarction</w:t>
            </w:r>
          </w:p>
        </w:tc>
        <w:tc>
          <w:tcPr>
            <w:tcW w:w="1675" w:type="dxa"/>
            <w:vAlign w:val="center"/>
          </w:tcPr>
          <w:p w14:paraId="5BFA3710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Yan, </w:t>
            </w:r>
            <w:proofErr w:type="spellStart"/>
            <w:r w:rsidRPr="00212677">
              <w:rPr>
                <w:rFonts w:cs="Times New Roman"/>
                <w:sz w:val="21"/>
                <w:szCs w:val="21"/>
              </w:rPr>
              <w:t>Xiaoxiang</w:t>
            </w:r>
            <w:proofErr w:type="spellEnd"/>
          </w:p>
        </w:tc>
        <w:tc>
          <w:tcPr>
            <w:tcW w:w="1952" w:type="dxa"/>
            <w:vAlign w:val="center"/>
          </w:tcPr>
          <w:p w14:paraId="291F3974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 xml:space="preserve">J Mol Cell </w:t>
            </w:r>
            <w:proofErr w:type="spellStart"/>
            <w:r w:rsidRPr="00212677">
              <w:rPr>
                <w:rFonts w:cs="Times New Roman"/>
                <w:i/>
                <w:iCs/>
                <w:sz w:val="21"/>
                <w:szCs w:val="21"/>
              </w:rPr>
              <w:t>Cardiol</w:t>
            </w:r>
            <w:proofErr w:type="spellEnd"/>
          </w:p>
        </w:tc>
        <w:tc>
          <w:tcPr>
            <w:tcW w:w="636" w:type="dxa"/>
            <w:vAlign w:val="center"/>
          </w:tcPr>
          <w:p w14:paraId="2DEBEC69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2013</w:t>
            </w:r>
          </w:p>
        </w:tc>
        <w:tc>
          <w:tcPr>
            <w:tcW w:w="1160" w:type="dxa"/>
            <w:vAlign w:val="center"/>
          </w:tcPr>
          <w:p w14:paraId="4ED946BE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41</w:t>
            </w:r>
          </w:p>
        </w:tc>
        <w:tc>
          <w:tcPr>
            <w:tcW w:w="1560" w:type="dxa"/>
            <w:vAlign w:val="center"/>
          </w:tcPr>
          <w:p w14:paraId="007BD59F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4.56 </w:t>
            </w:r>
          </w:p>
        </w:tc>
      </w:tr>
      <w:tr w:rsidR="0058680E" w:rsidRPr="00212677" w14:paraId="26667B8A" w14:textId="77777777" w:rsidTr="0058680E">
        <w:trPr>
          <w:jc w:val="center"/>
        </w:trPr>
        <w:tc>
          <w:tcPr>
            <w:tcW w:w="716" w:type="dxa"/>
            <w:vAlign w:val="center"/>
          </w:tcPr>
          <w:p w14:paraId="1C75B71C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8</w:t>
            </w:r>
          </w:p>
        </w:tc>
        <w:tc>
          <w:tcPr>
            <w:tcW w:w="6902" w:type="dxa"/>
            <w:vAlign w:val="center"/>
          </w:tcPr>
          <w:p w14:paraId="6AFE7B95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Activation of CD4</w:t>
            </w:r>
            <w:r w:rsidRPr="00C245ED">
              <w:rPr>
                <w:rFonts w:cs="Times New Roman"/>
                <w:sz w:val="21"/>
                <w:szCs w:val="21"/>
                <w:vertAlign w:val="superscript"/>
              </w:rPr>
              <w:t>+</w:t>
            </w:r>
            <w:r w:rsidRPr="00212677">
              <w:rPr>
                <w:rFonts w:cs="Times New Roman"/>
                <w:sz w:val="21"/>
                <w:szCs w:val="21"/>
              </w:rPr>
              <w:t xml:space="preserve"> T lymphocytes improves wound healing and survival after experimental myocardial infarction in mice</w:t>
            </w:r>
          </w:p>
        </w:tc>
        <w:tc>
          <w:tcPr>
            <w:tcW w:w="1675" w:type="dxa"/>
            <w:vAlign w:val="center"/>
          </w:tcPr>
          <w:p w14:paraId="3FD7F37C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Hofmann, Ulrich</w:t>
            </w:r>
          </w:p>
        </w:tc>
        <w:tc>
          <w:tcPr>
            <w:tcW w:w="1952" w:type="dxa"/>
            <w:vAlign w:val="center"/>
          </w:tcPr>
          <w:p w14:paraId="5AA4B0F0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CIRCULATION</w:t>
            </w:r>
          </w:p>
        </w:tc>
        <w:tc>
          <w:tcPr>
            <w:tcW w:w="636" w:type="dxa"/>
            <w:vAlign w:val="center"/>
          </w:tcPr>
          <w:p w14:paraId="7B24DFAB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2012</w:t>
            </w:r>
          </w:p>
        </w:tc>
        <w:tc>
          <w:tcPr>
            <w:tcW w:w="1160" w:type="dxa"/>
            <w:vAlign w:val="center"/>
          </w:tcPr>
          <w:p w14:paraId="50A5A652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35</w:t>
            </w:r>
          </w:p>
        </w:tc>
        <w:tc>
          <w:tcPr>
            <w:tcW w:w="1560" w:type="dxa"/>
            <w:vAlign w:val="center"/>
          </w:tcPr>
          <w:p w14:paraId="7DEA73B9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3.50 </w:t>
            </w:r>
          </w:p>
        </w:tc>
      </w:tr>
      <w:tr w:rsidR="0058680E" w:rsidRPr="00212677" w14:paraId="52E41F72" w14:textId="77777777" w:rsidTr="0058680E">
        <w:trPr>
          <w:jc w:val="center"/>
        </w:trPr>
        <w:tc>
          <w:tcPr>
            <w:tcW w:w="716" w:type="dxa"/>
            <w:vAlign w:val="center"/>
          </w:tcPr>
          <w:p w14:paraId="449E365F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9</w:t>
            </w:r>
          </w:p>
        </w:tc>
        <w:tc>
          <w:tcPr>
            <w:tcW w:w="6902" w:type="dxa"/>
            <w:vAlign w:val="center"/>
          </w:tcPr>
          <w:p w14:paraId="0498C12B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Cardiovascular risk in post-myocardial infarction patients: nationwide </w:t>
            </w:r>
            <w:proofErr w:type="gramStart"/>
            <w:r w:rsidRPr="00212677">
              <w:rPr>
                <w:rFonts w:cs="Times New Roman"/>
                <w:sz w:val="21"/>
                <w:szCs w:val="21"/>
              </w:rPr>
              <w:t>real world</w:t>
            </w:r>
            <w:proofErr w:type="gramEnd"/>
            <w:r w:rsidRPr="00212677">
              <w:rPr>
                <w:rFonts w:cs="Times New Roman"/>
                <w:sz w:val="21"/>
                <w:szCs w:val="21"/>
              </w:rPr>
              <w:t xml:space="preserve"> data demonstrate the importance of a long-term perspective</w:t>
            </w:r>
          </w:p>
        </w:tc>
        <w:tc>
          <w:tcPr>
            <w:tcW w:w="1675" w:type="dxa"/>
            <w:vAlign w:val="center"/>
          </w:tcPr>
          <w:p w14:paraId="73373C40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Jernberg, Tomas</w:t>
            </w:r>
          </w:p>
        </w:tc>
        <w:tc>
          <w:tcPr>
            <w:tcW w:w="1952" w:type="dxa"/>
            <w:vAlign w:val="center"/>
          </w:tcPr>
          <w:p w14:paraId="290F54D8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EUR HEART J</w:t>
            </w:r>
          </w:p>
        </w:tc>
        <w:tc>
          <w:tcPr>
            <w:tcW w:w="636" w:type="dxa"/>
            <w:vAlign w:val="center"/>
          </w:tcPr>
          <w:p w14:paraId="4C36A408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2015</w:t>
            </w:r>
          </w:p>
        </w:tc>
        <w:tc>
          <w:tcPr>
            <w:tcW w:w="1160" w:type="dxa"/>
            <w:vAlign w:val="center"/>
          </w:tcPr>
          <w:p w14:paraId="673F9E45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35</w:t>
            </w:r>
          </w:p>
        </w:tc>
        <w:tc>
          <w:tcPr>
            <w:tcW w:w="1560" w:type="dxa"/>
            <w:vAlign w:val="center"/>
          </w:tcPr>
          <w:p w14:paraId="0EA7B554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5.00 </w:t>
            </w:r>
          </w:p>
        </w:tc>
      </w:tr>
      <w:tr w:rsidR="0058680E" w:rsidRPr="00212677" w14:paraId="081B0D0D" w14:textId="77777777" w:rsidTr="0058680E">
        <w:trPr>
          <w:jc w:val="center"/>
        </w:trPr>
        <w:tc>
          <w:tcPr>
            <w:tcW w:w="716" w:type="dxa"/>
            <w:vAlign w:val="center"/>
          </w:tcPr>
          <w:p w14:paraId="149740A4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eastAsia="宋体" w:cs="Times New Roman"/>
                <w:sz w:val="21"/>
                <w:szCs w:val="21"/>
              </w:rPr>
              <w:t>10</w:t>
            </w:r>
          </w:p>
        </w:tc>
        <w:tc>
          <w:tcPr>
            <w:tcW w:w="6902" w:type="dxa"/>
            <w:vAlign w:val="center"/>
          </w:tcPr>
          <w:p w14:paraId="0997A075" w14:textId="77777777" w:rsidR="0058680E" w:rsidRPr="00212677" w:rsidRDefault="0058680E" w:rsidP="00DA50C7">
            <w:pPr>
              <w:spacing w:before="0" w:after="0" w:line="360" w:lineRule="auto"/>
              <w:rPr>
                <w:rFonts w:eastAsia="宋体" w:cs="Times New Roman"/>
                <w:b/>
                <w:bCs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Cyclosporine before PCI in Patients with Acute Myocardial Infarction</w:t>
            </w:r>
          </w:p>
        </w:tc>
        <w:tc>
          <w:tcPr>
            <w:tcW w:w="1675" w:type="dxa"/>
            <w:vAlign w:val="center"/>
          </w:tcPr>
          <w:p w14:paraId="18F369EB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Cung, Thien-Tri</w:t>
            </w:r>
          </w:p>
        </w:tc>
        <w:tc>
          <w:tcPr>
            <w:tcW w:w="1952" w:type="dxa"/>
            <w:vAlign w:val="center"/>
          </w:tcPr>
          <w:p w14:paraId="4D3325CD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212677">
              <w:rPr>
                <w:rFonts w:cs="Times New Roman"/>
                <w:i/>
                <w:iCs/>
                <w:sz w:val="21"/>
                <w:szCs w:val="21"/>
              </w:rPr>
              <w:t>NEW ENGL J MED</w:t>
            </w:r>
          </w:p>
        </w:tc>
        <w:tc>
          <w:tcPr>
            <w:tcW w:w="636" w:type="dxa"/>
            <w:vAlign w:val="center"/>
          </w:tcPr>
          <w:p w14:paraId="3E3E039D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2015</w:t>
            </w:r>
          </w:p>
        </w:tc>
        <w:tc>
          <w:tcPr>
            <w:tcW w:w="1160" w:type="dxa"/>
            <w:vAlign w:val="center"/>
          </w:tcPr>
          <w:p w14:paraId="6C1D6537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>33</w:t>
            </w:r>
          </w:p>
        </w:tc>
        <w:tc>
          <w:tcPr>
            <w:tcW w:w="1560" w:type="dxa"/>
            <w:vAlign w:val="center"/>
          </w:tcPr>
          <w:p w14:paraId="3EC0DE40" w14:textId="77777777" w:rsidR="0058680E" w:rsidRPr="00212677" w:rsidRDefault="0058680E" w:rsidP="00DA50C7">
            <w:pPr>
              <w:spacing w:before="0" w:after="0" w:line="36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212677">
              <w:rPr>
                <w:rFonts w:cs="Times New Roman"/>
                <w:sz w:val="21"/>
                <w:szCs w:val="21"/>
              </w:rPr>
              <w:t xml:space="preserve">4.71 </w:t>
            </w:r>
          </w:p>
        </w:tc>
      </w:tr>
      <w:bookmarkEnd w:id="0"/>
    </w:tbl>
    <w:p w14:paraId="6980A0B4" w14:textId="77777777" w:rsidR="0061403D" w:rsidRPr="0058680E" w:rsidRDefault="0061403D" w:rsidP="0058680E"/>
    <w:sectPr w:rsidR="0061403D" w:rsidRPr="0058680E" w:rsidSect="000E40E2">
      <w:pgSz w:w="16838" w:h="11906" w:orient="landscape"/>
      <w:pgMar w:top="1281" w:right="1140" w:bottom="1179" w:left="11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4F74" w14:textId="77777777" w:rsidR="000E40E2" w:rsidRDefault="000E40E2" w:rsidP="00E76FAF">
      <w:pPr>
        <w:spacing w:before="0" w:after="0"/>
      </w:pPr>
      <w:r>
        <w:separator/>
      </w:r>
    </w:p>
  </w:endnote>
  <w:endnote w:type="continuationSeparator" w:id="0">
    <w:p w14:paraId="5726B133" w14:textId="77777777" w:rsidR="000E40E2" w:rsidRDefault="000E40E2" w:rsidP="00E76F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C8035" w14:textId="77777777" w:rsidR="000E40E2" w:rsidRDefault="000E40E2" w:rsidP="00E76FAF">
      <w:pPr>
        <w:spacing w:before="0" w:after="0"/>
      </w:pPr>
      <w:r>
        <w:separator/>
      </w:r>
    </w:p>
  </w:footnote>
  <w:footnote w:type="continuationSeparator" w:id="0">
    <w:p w14:paraId="49931749" w14:textId="77777777" w:rsidR="000E40E2" w:rsidRDefault="000E40E2" w:rsidP="00E76FA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89"/>
    <w:rsid w:val="000D6DBB"/>
    <w:rsid w:val="000D7879"/>
    <w:rsid w:val="000E40E2"/>
    <w:rsid w:val="0058680E"/>
    <w:rsid w:val="0061403D"/>
    <w:rsid w:val="00996F1B"/>
    <w:rsid w:val="00A11089"/>
    <w:rsid w:val="00E7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7C84F"/>
  <w15:chartTrackingRefBased/>
  <w15:docId w15:val="{8870AE30-4A39-4723-8650-919276AB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FAF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11089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089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089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08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08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089"/>
    <w:pPr>
      <w:keepNext/>
      <w:keepLines/>
      <w:widowControl w:val="0"/>
      <w:spacing w:before="40" w:after="0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089"/>
    <w:pPr>
      <w:keepNext/>
      <w:keepLines/>
      <w:widowControl w:val="0"/>
      <w:spacing w:before="40" w:after="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089"/>
    <w:pPr>
      <w:keepNext/>
      <w:keepLines/>
      <w:widowControl w:val="0"/>
      <w:spacing w:before="0" w:after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089"/>
    <w:pPr>
      <w:keepNext/>
      <w:keepLines/>
      <w:widowControl w:val="0"/>
      <w:spacing w:before="0" w:after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08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1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1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108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108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1108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10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10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10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1089"/>
    <w:pPr>
      <w:widowControl w:val="0"/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A1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089"/>
    <w:pPr>
      <w:widowControl w:val="0"/>
      <w:numPr>
        <w:ilvl w:val="1"/>
      </w:numPr>
      <w:spacing w:before="0"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A11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1089"/>
    <w:pPr>
      <w:widowControl w:val="0"/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kern w:val="2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A110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1089"/>
    <w:pPr>
      <w:widowControl w:val="0"/>
      <w:spacing w:before="0" w:after="0"/>
      <w:ind w:left="720"/>
      <w:contextualSpacing/>
      <w:jc w:val="both"/>
    </w:pPr>
    <w:rPr>
      <w:rFonts w:asciiTheme="minorHAnsi" w:hAnsiTheme="minorHAnsi"/>
      <w:kern w:val="2"/>
      <w:sz w:val="21"/>
      <w:lang w:eastAsia="zh-CN"/>
    </w:rPr>
  </w:style>
  <w:style w:type="character" w:styleId="aa">
    <w:name w:val="Intense Emphasis"/>
    <w:basedOn w:val="a0"/>
    <w:uiPriority w:val="21"/>
    <w:qFormat/>
    <w:rsid w:val="00A1108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108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A1108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108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6FAF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f">
    <w:name w:val="页眉 字符"/>
    <w:basedOn w:val="a0"/>
    <w:link w:val="ae"/>
    <w:uiPriority w:val="99"/>
    <w:rsid w:val="00E76FA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6FAF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f1">
    <w:name w:val="页脚 字符"/>
    <w:basedOn w:val="a0"/>
    <w:link w:val="af0"/>
    <w:uiPriority w:val="99"/>
    <w:rsid w:val="00E76FAF"/>
    <w:rPr>
      <w:sz w:val="18"/>
      <w:szCs w:val="18"/>
    </w:rPr>
  </w:style>
  <w:style w:type="table" w:customStyle="1" w:styleId="af2">
    <w:name w:val="三线表"/>
    <w:basedOn w:val="a1"/>
    <w:uiPriority w:val="99"/>
    <w:rsid w:val="00E76FAF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6" w:space="0" w:color="auto"/>
        </w:tcBorders>
      </w:tcPr>
    </w:tblStylePr>
  </w:style>
  <w:style w:type="character" w:styleId="af3">
    <w:name w:val="line number"/>
    <w:basedOn w:val="a0"/>
    <w:uiPriority w:val="99"/>
    <w:semiHidden/>
    <w:unhideWhenUsed/>
    <w:rsid w:val="00E76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1540</Characters>
  <Application>Microsoft Office Word</Application>
  <DocSecurity>0</DocSecurity>
  <Lines>102</Lines>
  <Paragraphs>94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Hou</dc:creator>
  <cp:keywords/>
  <dc:description/>
  <cp:lastModifiedBy>Tim Hou</cp:lastModifiedBy>
  <cp:revision>4</cp:revision>
  <dcterms:created xsi:type="dcterms:W3CDTF">2024-01-16T08:04:00Z</dcterms:created>
  <dcterms:modified xsi:type="dcterms:W3CDTF">2024-01-16T15:17:00Z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e9dcb9cb46f94773818a88afea050b18690992ff2bd9c81f827fbda5638e9603</vt:lpwstr>
  </property>
</Properties>
</file>