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E8318" w14:textId="77777777" w:rsidR="00E92F38" w:rsidRPr="00153E4D" w:rsidRDefault="00E92F38" w:rsidP="00FA237B">
      <w:pPr>
        <w:rPr>
          <w:lang w:val="en-US"/>
        </w:rPr>
      </w:pPr>
    </w:p>
    <w:p w14:paraId="568F7A5A" w14:textId="77777777" w:rsidR="0024713B" w:rsidRPr="00153E4D" w:rsidRDefault="0024713B" w:rsidP="00153E4D">
      <w:pPr>
        <w:rPr>
          <w:lang w:val="en-US"/>
        </w:rPr>
      </w:pPr>
    </w:p>
    <w:p w14:paraId="57ED9771" w14:textId="5F4914AC" w:rsidR="00AD453D" w:rsidRPr="00107242" w:rsidRDefault="774F0B01" w:rsidP="00126E3E">
      <w:pPr>
        <w:pStyle w:val="Heading1"/>
        <w:spacing w:before="0" w:after="120"/>
        <w:rPr>
          <w:rFonts w:ascii="Times New Roman" w:hAnsi="Times New Roman" w:cs="Times New Roman"/>
        </w:rPr>
      </w:pPr>
      <w:r w:rsidRPr="00107242">
        <w:rPr>
          <w:rFonts w:ascii="Times New Roman" w:hAnsi="Times New Roman" w:cs="Times New Roman"/>
        </w:rPr>
        <w:t>S</w:t>
      </w:r>
      <w:r w:rsidR="009E5CE9" w:rsidRPr="00107242">
        <w:rPr>
          <w:rFonts w:ascii="Times New Roman" w:hAnsi="Times New Roman" w:cs="Times New Roman"/>
        </w:rPr>
        <w:t>up</w:t>
      </w:r>
      <w:r w:rsidR="00D24B14" w:rsidRPr="00107242">
        <w:rPr>
          <w:rFonts w:ascii="Times New Roman" w:hAnsi="Times New Roman" w:cs="Times New Roman"/>
        </w:rPr>
        <w:t>p</w:t>
      </w:r>
      <w:r w:rsidR="009E5CE9" w:rsidRPr="00107242">
        <w:rPr>
          <w:rFonts w:ascii="Times New Roman" w:hAnsi="Times New Roman" w:cs="Times New Roman"/>
        </w:rPr>
        <w:t xml:space="preserve">lementary </w:t>
      </w:r>
      <w:r w:rsidRPr="00107242">
        <w:rPr>
          <w:rFonts w:ascii="Times New Roman" w:hAnsi="Times New Roman" w:cs="Times New Roman"/>
        </w:rPr>
        <w:t>I</w:t>
      </w:r>
      <w:r w:rsidR="009E5CE9" w:rsidRPr="00107242">
        <w:rPr>
          <w:rFonts w:ascii="Times New Roman" w:hAnsi="Times New Roman" w:cs="Times New Roman"/>
        </w:rPr>
        <w:t>nformation</w:t>
      </w:r>
    </w:p>
    <w:p w14:paraId="5B2FFF32" w14:textId="5B5E0C0C" w:rsidR="003E5450" w:rsidRPr="00107242" w:rsidRDefault="003E5450" w:rsidP="00126E3E">
      <w:pPr>
        <w:spacing w:after="120"/>
      </w:pPr>
    </w:p>
    <w:p w14:paraId="5E6365B1" w14:textId="3D56B47F" w:rsidR="003E5450" w:rsidRPr="00107242" w:rsidRDefault="774F0B01" w:rsidP="00126E3E">
      <w:pPr>
        <w:pStyle w:val="Heading1"/>
        <w:spacing w:before="0" w:after="120"/>
        <w:rPr>
          <w:rFonts w:ascii="Times New Roman" w:hAnsi="Times New Roman" w:cs="Times New Roman"/>
        </w:rPr>
      </w:pPr>
      <w:r w:rsidRPr="00107242">
        <w:rPr>
          <w:rFonts w:ascii="Times New Roman" w:hAnsi="Times New Roman" w:cs="Times New Roman"/>
        </w:rPr>
        <w:t>A: The NAVIGATE inequality dataset at the income decile level for use in IAMs</w:t>
      </w:r>
    </w:p>
    <w:p w14:paraId="26412E10" w14:textId="384F63D1" w:rsidR="003E5450" w:rsidRPr="00107242" w:rsidRDefault="774F0B01" w:rsidP="00126E3E">
      <w:pPr>
        <w:spacing w:after="120"/>
      </w:pPr>
      <w:r w:rsidRPr="00107242">
        <w:t>A standardized input data template has been defined and data has been collected using household surveys from a number of developed and OEC</w:t>
      </w:r>
      <w:r w:rsidR="009E5CE9" w:rsidRPr="00107242">
        <w:t>D</w:t>
      </w:r>
      <w:r w:rsidRPr="00107242">
        <w:t xml:space="preserve"> countries.</w:t>
      </w:r>
    </w:p>
    <w:p w14:paraId="2D90F1D5" w14:textId="77777777" w:rsidR="003E5450" w:rsidRPr="00107242" w:rsidRDefault="774F0B01" w:rsidP="00126E3E">
      <w:pPr>
        <w:spacing w:after="120"/>
      </w:pPr>
      <w:r w:rsidRPr="00107242">
        <w:t xml:space="preserve">Available countries (for the latest year, between 2008 and 2017, available): </w:t>
      </w:r>
    </w:p>
    <w:p w14:paraId="2C9A3FF0" w14:textId="77777777" w:rsidR="003E5450" w:rsidRPr="00107242" w:rsidRDefault="774F0B01" w:rsidP="00126E3E">
      <w:pPr>
        <w:pStyle w:val="ListParagraph"/>
        <w:numPr>
          <w:ilvl w:val="0"/>
          <w:numId w:val="4"/>
        </w:numPr>
        <w:spacing w:after="120" w:line="256" w:lineRule="auto"/>
      </w:pPr>
      <w:r w:rsidRPr="00107242">
        <w:t>India, Brazil, France, South Africa, United States of America, China, Mexico</w:t>
      </w:r>
    </w:p>
    <w:p w14:paraId="34939F92" w14:textId="65E7A10D" w:rsidR="003E5450" w:rsidRPr="00107242" w:rsidRDefault="774F0B01" w:rsidP="00126E3E">
      <w:pPr>
        <w:pStyle w:val="ListParagraph"/>
        <w:numPr>
          <w:ilvl w:val="0"/>
          <w:numId w:val="4"/>
        </w:numPr>
        <w:spacing w:after="120" w:line="256" w:lineRule="auto"/>
      </w:pPr>
      <w:r w:rsidRPr="00107242">
        <w:t xml:space="preserve">26 EU member states based on a common </w:t>
      </w:r>
      <w:r w:rsidR="00D2186E" w:rsidRPr="00107242">
        <w:t>survey.</w:t>
      </w:r>
    </w:p>
    <w:p w14:paraId="1E5D8586" w14:textId="021A5D92" w:rsidR="003E5450" w:rsidRPr="00107242" w:rsidRDefault="774F0B01" w:rsidP="00376FBA">
      <w:pPr>
        <w:spacing w:after="120"/>
        <w:jc w:val="both"/>
      </w:pPr>
      <w:r w:rsidRPr="00107242">
        <w:t xml:space="preserve">The data is all structured around income deciles. Units of observations for the deciles are households. The OECD modified equivalence scale has been applied to compute household income per person. (1 plus 0.5 per adult (older than 14 years) and 0.3 per child (14 or less years)). Note this definition differs slightly from the OECD’s original definition where adults are 14 years and older. This has been chosen </w:t>
      </w:r>
      <w:r w:rsidR="00D2186E" w:rsidRPr="00107242">
        <w:t>since</w:t>
      </w:r>
      <w:r w:rsidRPr="00107242">
        <w:t xml:space="preserve"> many demographic projections report populations by age cohorts of five years, so we consider 15+ years old as adults.</w:t>
      </w:r>
    </w:p>
    <w:p w14:paraId="04D82539" w14:textId="77777777" w:rsidR="003E5450" w:rsidRPr="00107242" w:rsidRDefault="774F0B01" w:rsidP="00126E3E">
      <w:pPr>
        <w:spacing w:after="120"/>
      </w:pPr>
      <w:r w:rsidRPr="00107242">
        <w:t>Available variables (all for deciles D1 to D10):</w:t>
      </w:r>
    </w:p>
    <w:p w14:paraId="7318B061" w14:textId="77777777" w:rsidR="003E5450" w:rsidRPr="00107242" w:rsidRDefault="774F0B01" w:rsidP="00126E3E">
      <w:pPr>
        <w:pStyle w:val="ListParagraph"/>
        <w:numPr>
          <w:ilvl w:val="0"/>
          <w:numId w:val="5"/>
        </w:numPr>
        <w:spacing w:after="120" w:line="256" w:lineRule="auto"/>
      </w:pPr>
      <w:r w:rsidRPr="00107242">
        <w:t>Income share</w:t>
      </w:r>
    </w:p>
    <w:p w14:paraId="15336DAE" w14:textId="77777777" w:rsidR="003E5450" w:rsidRPr="00107242" w:rsidRDefault="774F0B01" w:rsidP="00126E3E">
      <w:pPr>
        <w:pStyle w:val="ListParagraph"/>
        <w:numPr>
          <w:ilvl w:val="0"/>
          <w:numId w:val="5"/>
        </w:numPr>
        <w:spacing w:after="120" w:line="256" w:lineRule="auto"/>
      </w:pPr>
      <w:r w:rsidRPr="00107242">
        <w:t>Expenditure share</w:t>
      </w:r>
    </w:p>
    <w:p w14:paraId="71036A2D" w14:textId="77777777" w:rsidR="003E5450" w:rsidRPr="00107242" w:rsidRDefault="774F0B01" w:rsidP="00126E3E">
      <w:pPr>
        <w:pStyle w:val="ListParagraph"/>
        <w:numPr>
          <w:ilvl w:val="0"/>
          <w:numId w:val="5"/>
        </w:numPr>
        <w:spacing w:after="120" w:line="256" w:lineRule="auto"/>
      </w:pPr>
      <w:r w:rsidRPr="00107242">
        <w:t>Expenditure share in</w:t>
      </w:r>
    </w:p>
    <w:p w14:paraId="2B0D2281" w14:textId="77777777" w:rsidR="003E5450" w:rsidRPr="00107242" w:rsidRDefault="774F0B01" w:rsidP="00126E3E">
      <w:pPr>
        <w:pStyle w:val="ListParagraph"/>
        <w:numPr>
          <w:ilvl w:val="1"/>
          <w:numId w:val="5"/>
        </w:numPr>
        <w:spacing w:after="120" w:line="256" w:lineRule="auto"/>
      </w:pPr>
      <w:r w:rsidRPr="00107242">
        <w:t>Energy for Transportation</w:t>
      </w:r>
    </w:p>
    <w:p w14:paraId="31F186E8" w14:textId="77777777" w:rsidR="003E5450" w:rsidRPr="00107242" w:rsidRDefault="774F0B01" w:rsidP="00126E3E">
      <w:pPr>
        <w:pStyle w:val="ListParagraph"/>
        <w:numPr>
          <w:ilvl w:val="1"/>
          <w:numId w:val="5"/>
        </w:numPr>
        <w:spacing w:after="120" w:line="256" w:lineRule="auto"/>
      </w:pPr>
      <w:r w:rsidRPr="00107242">
        <w:t>Energy for Housing</w:t>
      </w:r>
    </w:p>
    <w:p w14:paraId="19D1362B" w14:textId="77777777" w:rsidR="003E5450" w:rsidRPr="00107242" w:rsidRDefault="774F0B01" w:rsidP="00126E3E">
      <w:pPr>
        <w:pStyle w:val="ListParagraph"/>
        <w:numPr>
          <w:ilvl w:val="1"/>
          <w:numId w:val="5"/>
        </w:numPr>
        <w:spacing w:after="120" w:line="256" w:lineRule="auto"/>
      </w:pPr>
      <w:r w:rsidRPr="00107242">
        <w:t>Food</w:t>
      </w:r>
    </w:p>
    <w:p w14:paraId="0A17D8D4" w14:textId="77777777" w:rsidR="003E5450" w:rsidRPr="00107242" w:rsidRDefault="774F0B01" w:rsidP="00126E3E">
      <w:pPr>
        <w:pStyle w:val="ListParagraph"/>
        <w:numPr>
          <w:ilvl w:val="0"/>
          <w:numId w:val="5"/>
        </w:numPr>
        <w:spacing w:after="120" w:line="256" w:lineRule="auto"/>
      </w:pPr>
      <w:r w:rsidRPr="00107242">
        <w:t>Education of the household head</w:t>
      </w:r>
    </w:p>
    <w:p w14:paraId="4FE60240" w14:textId="77777777" w:rsidR="003E5450" w:rsidRPr="00107242" w:rsidRDefault="774F0B01" w:rsidP="00126E3E">
      <w:pPr>
        <w:pStyle w:val="ListParagraph"/>
        <w:numPr>
          <w:ilvl w:val="0"/>
          <w:numId w:val="5"/>
        </w:numPr>
        <w:spacing w:after="120" w:line="256" w:lineRule="auto"/>
      </w:pPr>
      <w:r w:rsidRPr="00107242">
        <w:t>Average savings rate</w:t>
      </w:r>
    </w:p>
    <w:p w14:paraId="45F124CC" w14:textId="77777777" w:rsidR="003E5450" w:rsidRPr="00107242" w:rsidRDefault="774F0B01" w:rsidP="00126E3E">
      <w:pPr>
        <w:pStyle w:val="ListParagraph"/>
        <w:numPr>
          <w:ilvl w:val="0"/>
          <w:numId w:val="5"/>
        </w:numPr>
        <w:spacing w:after="120" w:line="256" w:lineRule="auto"/>
      </w:pPr>
      <w:r w:rsidRPr="00107242">
        <w:t>Household size</w:t>
      </w:r>
    </w:p>
    <w:p w14:paraId="4F1D6DE4" w14:textId="77777777" w:rsidR="003E5450" w:rsidRPr="00107242" w:rsidRDefault="774F0B01" w:rsidP="00126E3E">
      <w:pPr>
        <w:pStyle w:val="ListParagraph"/>
        <w:numPr>
          <w:ilvl w:val="0"/>
          <w:numId w:val="5"/>
        </w:numPr>
        <w:spacing w:after="120" w:line="256" w:lineRule="auto"/>
      </w:pPr>
      <w:r w:rsidRPr="00107242">
        <w:t>Income by type (labour, capital, transfers, other)</w:t>
      </w:r>
    </w:p>
    <w:p w14:paraId="370D9E1E" w14:textId="77777777" w:rsidR="003E5450" w:rsidRPr="00107242" w:rsidRDefault="774F0B01" w:rsidP="00126E3E">
      <w:pPr>
        <w:pStyle w:val="ListParagraph"/>
        <w:numPr>
          <w:ilvl w:val="0"/>
          <w:numId w:val="5"/>
        </w:numPr>
        <w:spacing w:after="120" w:line="256" w:lineRule="auto"/>
      </w:pPr>
      <w:r w:rsidRPr="00107242">
        <w:t>Wealth share (where available)</w:t>
      </w:r>
    </w:p>
    <w:p w14:paraId="2C28127B" w14:textId="7DAC4FC6" w:rsidR="003E5450" w:rsidRPr="00107242" w:rsidRDefault="774F0B01" w:rsidP="00126E3E">
      <w:pPr>
        <w:spacing w:after="120"/>
      </w:pPr>
      <w:r w:rsidRPr="00107242">
        <w:t xml:space="preserve">The dataset is available at </w:t>
      </w:r>
      <w:hyperlink r:id="rId11" w:history="1">
        <w:r w:rsidR="00937E6A" w:rsidRPr="00107242">
          <w:rPr>
            <w:rStyle w:val="Hyperlink"/>
          </w:rPr>
          <w:t>https://github.com/witch-team/NAVIGATE-inequality-dataset</w:t>
        </w:r>
      </w:hyperlink>
      <w:r w:rsidRPr="00107242">
        <w:rPr>
          <w:rStyle w:val="Hyperlink"/>
        </w:rPr>
        <w:t>.</w:t>
      </w:r>
    </w:p>
    <w:p w14:paraId="1859C929" w14:textId="271ECD2D" w:rsidR="003E5450" w:rsidRPr="00107242" w:rsidRDefault="003E5450" w:rsidP="00126E3E">
      <w:pPr>
        <w:spacing w:after="120"/>
      </w:pPr>
    </w:p>
    <w:p w14:paraId="2C95DEDF" w14:textId="77777777" w:rsidR="003E5450" w:rsidRPr="00107242" w:rsidRDefault="774F0B01" w:rsidP="00126E3E">
      <w:pPr>
        <w:spacing w:after="120"/>
      </w:pPr>
      <w:r w:rsidRPr="00107242">
        <w:t>The energy expenditure shares for housing and transportation are key variables for IAMs, and here the expenditure shares across countries, which show a strong regressive pattern for residential energy consumption while for transportation it appears in most countries to be progressive.</w:t>
      </w:r>
    </w:p>
    <w:p w14:paraId="0C93EEFA" w14:textId="77777777" w:rsidR="003E5450" w:rsidRPr="00107242" w:rsidRDefault="003E5450" w:rsidP="00126E3E">
      <w:pPr>
        <w:spacing w:after="120"/>
        <w:jc w:val="center"/>
      </w:pPr>
      <w:r w:rsidRPr="00107242">
        <w:rPr>
          <w:noProof/>
        </w:rPr>
        <w:lastRenderedPageBreak/>
        <w:drawing>
          <wp:inline distT="0" distB="0" distL="0" distR="0" wp14:anchorId="6A48E2C1" wp14:editId="644695AB">
            <wp:extent cx="5817338" cy="4651487"/>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a:extLst>
                        <a:ext uri="{28A0092B-C50C-407E-A947-70E740481C1C}">
                          <a14:useLocalDpi xmlns:a14="http://schemas.microsoft.com/office/drawing/2010/main" val="0"/>
                        </a:ext>
                      </a:extLst>
                    </a:blip>
                    <a:stretch>
                      <a:fillRect/>
                    </a:stretch>
                  </pic:blipFill>
                  <pic:spPr>
                    <a:xfrm>
                      <a:off x="0" y="0"/>
                      <a:ext cx="5819882" cy="4653521"/>
                    </a:xfrm>
                    <a:prstGeom prst="rect">
                      <a:avLst/>
                    </a:prstGeom>
                  </pic:spPr>
                </pic:pic>
              </a:graphicData>
            </a:graphic>
          </wp:inline>
        </w:drawing>
      </w:r>
    </w:p>
    <w:p w14:paraId="0F39DFDF" w14:textId="58A3CCAE" w:rsidR="529CC39A" w:rsidRPr="00107242" w:rsidRDefault="529CC39A" w:rsidP="00126E3E">
      <w:pPr>
        <w:spacing w:after="120"/>
      </w:pPr>
    </w:p>
    <w:p w14:paraId="224397C2" w14:textId="31341392" w:rsidR="003E5450" w:rsidRPr="00107242" w:rsidRDefault="774F0B01" w:rsidP="00126E3E">
      <w:pPr>
        <w:spacing w:after="120"/>
      </w:pPr>
      <w:r w:rsidRPr="00107242">
        <w:t xml:space="preserve">Household survey data sources: </w:t>
      </w:r>
    </w:p>
    <w:p w14:paraId="1621A407" w14:textId="77777777" w:rsidR="003E5450" w:rsidRPr="00107242" w:rsidRDefault="774F0B01" w:rsidP="00126E3E">
      <w:pPr>
        <w:pStyle w:val="ListParagraph"/>
        <w:numPr>
          <w:ilvl w:val="0"/>
          <w:numId w:val="6"/>
        </w:numPr>
        <w:spacing w:after="120"/>
      </w:pPr>
      <w:r w:rsidRPr="0062535D">
        <w:rPr>
          <w:lang w:val="pt-PT"/>
        </w:rPr>
        <w:t xml:space="preserve">Brazil: Consumer Expenditure Survey from IBGE (2009): “Pesquisa de Orçamentos Familiares 2008-2009 - Despesas, Rendimentos e Condições de Vida,”Technical report, Rio de Janeiro, Brazil, for the year 2008. </w:t>
      </w:r>
      <w:r w:rsidRPr="00107242">
        <w:t>Retrieved from https://portaldeboaspraticas.iff.fiocruz.br/biblioteca/esquisa-de-orcamentos-familiares-2008-2009/</w:t>
      </w:r>
    </w:p>
    <w:p w14:paraId="239E5D03" w14:textId="77777777" w:rsidR="003E5450" w:rsidRPr="00107242" w:rsidRDefault="774F0B01" w:rsidP="00126E3E">
      <w:pPr>
        <w:pStyle w:val="ListParagraph"/>
        <w:numPr>
          <w:ilvl w:val="0"/>
          <w:numId w:val="6"/>
        </w:numPr>
        <w:spacing w:after="120"/>
      </w:pPr>
      <w:r w:rsidRPr="00107242">
        <w:t>Mexico: 2018 wave, National Survey of Household Income and Expenditure (ENIGH). The National Institute of Statistics, Geography and Informatics (INEGI). Retrieved from https://en.www.inegi.org.mx/programas/enigh/nc/2018/</w:t>
      </w:r>
    </w:p>
    <w:p w14:paraId="0D6305F9" w14:textId="77777777" w:rsidR="003E5450" w:rsidRPr="00107242" w:rsidRDefault="774F0B01" w:rsidP="00126E3E">
      <w:pPr>
        <w:pStyle w:val="ListParagraph"/>
        <w:numPr>
          <w:ilvl w:val="0"/>
          <w:numId w:val="6"/>
        </w:numPr>
        <w:spacing w:after="120"/>
      </w:pPr>
      <w:r w:rsidRPr="00107242">
        <w:t>Russia: 2019 wave, Russia Longitudinal Monitoring Survey (RLMS-HSE). Higher School of Economics and ZAO “Demoscope” together with Carolina Population Center, University of North Carolina at Chapel Hill and the Institute of Sociology RAS. Retrieved from https://rlms-hse.cpc.unc.edu</w:t>
      </w:r>
    </w:p>
    <w:p w14:paraId="2AE8D8AE" w14:textId="6D9A61FD" w:rsidR="003E5450" w:rsidRPr="00107242" w:rsidRDefault="774F0B01" w:rsidP="00126E3E">
      <w:pPr>
        <w:pStyle w:val="ListParagraph"/>
        <w:numPr>
          <w:ilvl w:val="0"/>
          <w:numId w:val="6"/>
        </w:numPr>
        <w:spacing w:after="120"/>
      </w:pPr>
      <w:r w:rsidRPr="00107242">
        <w:t>India: 2012 wave, National Sample Survey 2011-2012 (68th round) - Consumer Expenditure. Ministry of Statistics &amp; Programme Implementation, Government of India. Retrieved from http://microdata.gov.in/nada43/index.php/catalog/1</w:t>
      </w:r>
    </w:p>
    <w:p w14:paraId="1CF68C5D" w14:textId="0C41A37E" w:rsidR="003E5450" w:rsidRPr="00107242" w:rsidRDefault="774F0B01" w:rsidP="00126E3E">
      <w:pPr>
        <w:pStyle w:val="ListParagraph"/>
        <w:numPr>
          <w:ilvl w:val="0"/>
          <w:numId w:val="6"/>
        </w:numPr>
        <w:spacing w:after="120"/>
      </w:pPr>
      <w:r w:rsidRPr="00107242">
        <w:t xml:space="preserve">China: Chinese Household Income Project, 2013 wave (CHIP) – CHIP Dataset Homepage. Retrieved from http://www.ciidbnu.org/chip/index.asp </w:t>
      </w:r>
    </w:p>
    <w:p w14:paraId="7EE9DE0E" w14:textId="77777777" w:rsidR="003E5450" w:rsidRPr="00107242" w:rsidRDefault="774F0B01" w:rsidP="00126E3E">
      <w:pPr>
        <w:pStyle w:val="ListParagraph"/>
        <w:numPr>
          <w:ilvl w:val="0"/>
          <w:numId w:val="6"/>
        </w:numPr>
        <w:spacing w:after="120"/>
      </w:pPr>
      <w:r w:rsidRPr="00107242">
        <w:t>United States of America: US Consumer Expenditure Surveys, 2019 wave (CE) - Consumer Expenditure Surveys Public Use Microdata (PUMD). Retrieved from https://www.bls.gov/cex/pumd.htm</w:t>
      </w:r>
    </w:p>
    <w:p w14:paraId="6CF8C667" w14:textId="77777777" w:rsidR="003E5450" w:rsidRPr="00107242" w:rsidRDefault="774F0B01" w:rsidP="00126E3E">
      <w:pPr>
        <w:pStyle w:val="ListParagraph"/>
        <w:numPr>
          <w:ilvl w:val="0"/>
          <w:numId w:val="6"/>
        </w:numPr>
        <w:spacing w:after="120"/>
      </w:pPr>
      <w:r w:rsidRPr="00107242">
        <w:lastRenderedPageBreak/>
        <w:t>South Africa: South Africa National Income Dynamics Study, waves 1-5 (NIDS) - NIDS Data Access. Retrieved from http://www.nids.uct.ac.za/nids-data/data-access</w:t>
      </w:r>
    </w:p>
    <w:p w14:paraId="1EE05F6C" w14:textId="77777777" w:rsidR="003E5450" w:rsidRPr="00107242" w:rsidRDefault="774F0B01" w:rsidP="00126E3E">
      <w:pPr>
        <w:pStyle w:val="ListParagraph"/>
        <w:numPr>
          <w:ilvl w:val="0"/>
          <w:numId w:val="6"/>
        </w:numPr>
        <w:spacing w:after="120"/>
      </w:pPr>
      <w:r w:rsidRPr="00107242">
        <w:t>EU member states: EUROSTAT Household Budget Surveys (HBS) for all EU member states (plus Serbia and the United Kingdom), latest full wave from 2010, Retrieved from https://ec.europa.eu/eurostat/web/household-budget-surveys/overview</w:t>
      </w:r>
    </w:p>
    <w:p w14:paraId="20B96B68" w14:textId="21671C4E" w:rsidR="003E5450" w:rsidRDefault="774F0B01" w:rsidP="00126E3E">
      <w:pPr>
        <w:pStyle w:val="ListParagraph"/>
        <w:numPr>
          <w:ilvl w:val="0"/>
          <w:numId w:val="6"/>
        </w:numPr>
        <w:spacing w:after="120"/>
      </w:pPr>
      <w:r w:rsidRPr="00107242">
        <w:t xml:space="preserve">France: Household Budget Survey (Budget de Famille, BdF) from INSEE for the year 2011, Retrieved from: </w:t>
      </w:r>
      <w:hyperlink r:id="rId13" w:history="1">
        <w:r w:rsidR="0062688F" w:rsidRPr="00952776">
          <w:rPr>
            <w:rStyle w:val="Hyperlink"/>
          </w:rPr>
          <w:t>https://www.insee.fr/fr/statistiques/2015691</w:t>
        </w:r>
      </w:hyperlink>
    </w:p>
    <w:p w14:paraId="6F71A065" w14:textId="7F38277C" w:rsidR="0062688F" w:rsidRDefault="0062688F" w:rsidP="0062688F">
      <w:pPr>
        <w:pStyle w:val="Heading1"/>
        <w:spacing w:before="0" w:after="120"/>
        <w:rPr>
          <w:rFonts w:ascii="Times New Roman" w:hAnsi="Times New Roman" w:cs="Times New Roman"/>
        </w:rPr>
      </w:pPr>
      <w:r>
        <w:rPr>
          <w:rFonts w:ascii="Times New Roman" w:hAnsi="Times New Roman" w:cs="Times New Roman"/>
        </w:rPr>
        <w:t>C</w:t>
      </w:r>
      <w:r w:rsidRPr="00107242">
        <w:rPr>
          <w:rFonts w:ascii="Times New Roman" w:hAnsi="Times New Roman" w:cs="Times New Roman"/>
        </w:rPr>
        <w:t xml:space="preserve">: </w:t>
      </w:r>
      <w:r>
        <w:rPr>
          <w:rFonts w:ascii="Times New Roman" w:hAnsi="Times New Roman" w:cs="Times New Roman"/>
        </w:rPr>
        <w:t>Implementation of inequality in the different models</w:t>
      </w:r>
    </w:p>
    <w:p w14:paraId="05EA2DB3" w14:textId="3F41E3EC" w:rsidR="0062688F" w:rsidRPr="00BC5933" w:rsidRDefault="29E5226C" w:rsidP="002A1DB6">
      <w:pPr>
        <w:jc w:val="both"/>
        <w:rPr>
          <w:rFonts w:eastAsia="Times New Roman"/>
        </w:rPr>
      </w:pPr>
      <w:r w:rsidRPr="00BC5933">
        <w:rPr>
          <w:b/>
          <w:bCs/>
        </w:rPr>
        <w:t>AIM</w:t>
      </w:r>
      <w:r w:rsidRPr="00BC5933">
        <w:t xml:space="preserve">: AIM implements the consumption distribution assessment by soft-linking a poverty, household and income distribution modelling tool called the AIM/PHI to a CGE model (AIM/Hub). The poverty, </w:t>
      </w:r>
      <w:r w:rsidR="00551EE9" w:rsidRPr="00BC5933">
        <w:t>household,</w:t>
      </w:r>
      <w:r w:rsidRPr="00BC5933">
        <w:t xml:space="preserve"> and income distribution modelling tool </w:t>
      </w:r>
      <w:r w:rsidR="00551EE9" w:rsidRPr="00BC5933">
        <w:t>embody</w:t>
      </w:r>
      <w:r w:rsidRPr="00BC5933">
        <w:t xml:space="preserve"> a lognormal assumption and a nonlinear demand system</w:t>
      </w:r>
      <w:r w:rsidR="00C114ED" w:rsidRPr="00BC5933">
        <w:t xml:space="preserve"> </w:t>
      </w:r>
      <w:r w:rsidR="00C114ED" w:rsidRPr="00BC5933">
        <w:fldChar w:fldCharType="begin"/>
      </w:r>
      <w:r w:rsidR="00C114ED" w:rsidRPr="00BC5933">
        <w:instrText xml:space="preserve"> ADDIN ZOTERO_ITEM CSL_CITATION {"citationID":"lHqWMqBj","properties":{"formattedCitation":"(Fujimori, Hasegawa and Oshiro, 2020; Zhao {\\i{}et al.}, 2022)","plainCitation":"(Fujimori, Hasegawa and Oshiro, 2020; Zhao et al., 2022)","noteIndex":0},"citationItems":[{"id":19619,"uris":["http://zotero.org/users/24125/items/7XH7K5CB"],"itemData":{"id":19619,"type":"article-journal","abstract":"A carbon tax is one of the measures used to reduce GHG emissions, as it provides a strong political instrument for reaching the goal, stated in the Paris Agreement, of limiting the global mean temperature increase to well below 2 °C. While one aspect of a carbon tax is its ability to change income distribution, no quantitative assessment has been made within the context of global poverty. Here, we explore future poverty scenarios and show the extent to which carbon tax revenue, obtained to limit global warming to well below 2 °C, has the potential to help eradicate poverty. In order to better understand the relationship between poverty and climate change mitigation policy, we developed a novel modelling framework that includes a module representing poverty indicators in the conventional integrated assessment model. We found that the poverty gap, which is a measure of the shortfall in income relative to the poverty line, is 84 billion US dollars (USD) and that the carbon tax revenue potential for the above-mentioned 2 °C consistent climate change mitigation would be 1600 billion USD in 2030. Many low-income countries cannot fill the poverty gap using only their own domestic revenue; however, this shortfall could be met by using a portion of the revenue in high-income countries. Our results demonstrate that climate change mitigation can have a great potential in synergy effects for resolving poverty and illustrates the importance of international cooperation.","container-title":"Environmental Research Letters","DOI":"10.1088/1748-9326/abb55d","ISSN":"1748-9326","issue":"11","journalAbbreviation":"Environ. Res. Lett.","language":"en","note":"publisher: IOP Publishing","page":"114063","source":"Institute of Physics","title":"An assessment of the potential of using carbon tax revenue to tackle poverty","volume":"15","author":[{"family":"Fujimori","given":"Shinichiro"},{"family":"Hasegawa","given":"Tomoko"},{"family":"Oshiro","given":"Ken"}],"issued":{"date-parts":[["2020",11]]}}},{"id":19621,"uris":["http://zotero.org/users/24125/items/ABJ2JGDW"],"itemData":{"id":19621,"type":"article-journal","abstract":"Many countries have taken stringent climate policies to minimize the risks by climate change. But these policies could burden households and the poor with the extra costs and threaten their wellbeing. However, the consequences of climate policies on poverty and welfare loss are seldom presented in stringent long-term climate change mitigation projections. Carbon pricing is a cost-effective approach; how it affects households varies among countries. This study investigated the distributional effects and poverty implications of carbon pricing in China during the transition towards carbon neutrality and the Paris Ag</w:instrText>
      </w:r>
      <w:r w:rsidR="00C114ED" w:rsidRPr="002A1DB6">
        <w:rPr>
          <w:lang w:val="en-US"/>
        </w:rPr>
        <w:instrText xml:space="preserve">reement’s long-term goals. We assessed multiple poverty and equity standards in future scenarios with a newly developed integrated assessment model. It was found that climate change mitigation efforts would not greatly hinder poverty alleviation in China, with the poverty headcount under the $3.2/cap/day-threshold being less than 0.3 million people in 2050 in most scenarios. A carbon tax became a regressive factor mainly due to price increases in food and energy goods. This indicates that the distributional effects on carbon pricing should be considered. For example, supplementary policies that compensate for price changes, such as subsidies and early mitigation actions, that lead to modest price increases in the long term are worthy of consideration as valid instruments for the just transition towards the 2 °C or even 1.5 °C pathway.","container-title":"Sustainability Science","DOI":"10.1007/s11625-022-01206-y","ISSN":"1862-4057","issue":"6","journalAbbreviation":"Sustain Sci","language":"en","page":"2513-2528","source":"Springer Link","title":"Poverty and inequality implications of carbon pricing under the long-term climate target","volume":"17","author":[{"family":"Zhao","given":"Shiya"},{"family":"Fujimori","given":"Shinichiro"},{"family":"Hasegawa","given":"Tomoko"},{"family":"Oshiro","given":"Ken"},{"family":"Sasaki","given":"Katsuya"}],"issued":{"date-parts":[["2022",11,1]]}}}],"schema":"https://github.com/citation-style-language/schema/raw/master/csl-citation.json"} </w:instrText>
      </w:r>
      <w:r w:rsidR="00C114ED" w:rsidRPr="00BC5933">
        <w:fldChar w:fldCharType="separate"/>
      </w:r>
      <w:r w:rsidR="00C114ED" w:rsidRPr="002A1DB6">
        <w:rPr>
          <w:lang w:val="en-US"/>
        </w:rPr>
        <w:t xml:space="preserve">(Fujimori, Hasegawa and Oshiro, 2020; Zhao </w:t>
      </w:r>
      <w:r w:rsidR="00C114ED" w:rsidRPr="002A1DB6">
        <w:rPr>
          <w:i/>
          <w:iCs/>
          <w:lang w:val="en-US"/>
        </w:rPr>
        <w:t>et al.</w:t>
      </w:r>
      <w:r w:rsidR="00C114ED" w:rsidRPr="002A1DB6">
        <w:rPr>
          <w:lang w:val="en-US"/>
        </w:rPr>
        <w:t>, 2022)</w:t>
      </w:r>
      <w:r w:rsidR="00C114ED" w:rsidRPr="00BC5933">
        <w:fldChar w:fldCharType="end"/>
      </w:r>
      <w:r w:rsidRPr="002A1DB6">
        <w:rPr>
          <w:lang w:val="en-US"/>
        </w:rPr>
        <w:t xml:space="preserve">. </w:t>
      </w:r>
      <w:r w:rsidRPr="00BC5933">
        <w:t xml:space="preserve">The lognormal distribution captures the national average household consumption </w:t>
      </w:r>
      <w:r w:rsidRPr="00BC5933">
        <w:rPr>
          <w:rFonts w:eastAsia="Times New Roman"/>
        </w:rPr>
        <w:t>in the CGE and matches the Gini projections by Rao et al. (2019). The distributional effects of climate policies are introduced by passing the commodity prices to the AIDADS model</w:t>
      </w:r>
      <w:r w:rsidR="00E834C1" w:rsidRPr="00BC5933">
        <w:rPr>
          <w:rFonts w:eastAsia="Times New Roman"/>
        </w:rPr>
        <w:t xml:space="preserve">, </w:t>
      </w:r>
      <w:r w:rsidRPr="00BC5933">
        <w:rPr>
          <w:rFonts w:eastAsia="Times New Roman"/>
        </w:rPr>
        <w:t xml:space="preserve">where the household consumption patterns in each country are calibrated to </w:t>
      </w:r>
      <w:r w:rsidRPr="00BC5933">
        <w:t xml:space="preserve">global and national </w:t>
      </w:r>
      <w:r w:rsidRPr="00BC5933">
        <w:rPr>
          <w:rFonts w:eastAsia="Times New Roman"/>
        </w:rPr>
        <w:t xml:space="preserve">household consumption survey databases. Carbon tax revenues redistribution is modelled in the CGE as a lump-sum transfer to the representative </w:t>
      </w:r>
      <w:r w:rsidR="00551EE9" w:rsidRPr="00BC5933">
        <w:rPr>
          <w:rFonts w:eastAsia="Times New Roman"/>
        </w:rPr>
        <w:t>household,</w:t>
      </w:r>
      <w:r w:rsidRPr="00BC5933">
        <w:rPr>
          <w:rFonts w:eastAsia="Times New Roman"/>
        </w:rPr>
        <w:t xml:space="preserve"> but the redistribution is then altered in the </w:t>
      </w:r>
      <w:r w:rsidRPr="00BC5933">
        <w:t xml:space="preserve">poverty, </w:t>
      </w:r>
      <w:r w:rsidR="00551EE9" w:rsidRPr="00BC5933">
        <w:t>household,</w:t>
      </w:r>
      <w:r w:rsidRPr="00BC5933">
        <w:t xml:space="preserve"> and income distribution modelling tool. </w:t>
      </w:r>
    </w:p>
    <w:p w14:paraId="1BF3FD0D" w14:textId="77777777" w:rsidR="00036D57" w:rsidRPr="00BC5933" w:rsidRDefault="00036D57" w:rsidP="00BC5933">
      <w:pPr>
        <w:jc w:val="both"/>
      </w:pPr>
    </w:p>
    <w:p w14:paraId="48A75B34" w14:textId="02ADDFE0" w:rsidR="005C0022" w:rsidRPr="00BC5933" w:rsidRDefault="005C0022" w:rsidP="00BC5933">
      <w:pPr>
        <w:jc w:val="both"/>
        <w:rPr>
          <w:lang w:val="en-US"/>
        </w:rPr>
      </w:pPr>
      <w:r w:rsidRPr="00BC5933">
        <w:rPr>
          <w:b/>
          <w:bCs/>
          <w:lang w:val="en-US"/>
        </w:rPr>
        <w:t>E3ME</w:t>
      </w:r>
      <w:r w:rsidRPr="00BC5933">
        <w:rPr>
          <w:lang w:val="en-US"/>
        </w:rPr>
        <w:t>: In E3ME-FTT, the GINI coefficient is computed from disposable incomes before social transfers. The method is expenditure-based and does not include differential changes in sectoral employment. A further limitation is that the method does consider how income groups differ in their response to higher (energy) prices, for instance by insulating homes. The data for EU countries is based on equivalized disposable income before social transfers from Eurostat, whereas data outside of the EU is based on World Bank development indicators.</w:t>
      </w:r>
      <w:r w:rsidR="004D475C">
        <w:rPr>
          <w:lang w:val="en-US"/>
        </w:rPr>
        <w:t xml:space="preserve"> </w:t>
      </w:r>
    </w:p>
    <w:p w14:paraId="137A7F4B" w14:textId="77777777" w:rsidR="005C0022" w:rsidRPr="00BC5933" w:rsidRDefault="005C0022" w:rsidP="00BC5933">
      <w:pPr>
        <w:jc w:val="both"/>
        <w:rPr>
          <w:lang w:val="en-US"/>
        </w:rPr>
      </w:pPr>
    </w:p>
    <w:p w14:paraId="42BBC00A" w14:textId="32BCA20D" w:rsidR="1F883418" w:rsidRDefault="1F883418" w:rsidP="1F883418">
      <w:pPr>
        <w:jc w:val="both"/>
        <w:rPr>
          <w:rFonts w:eastAsia="Times New Roman"/>
          <w:sz w:val="22"/>
          <w:szCs w:val="22"/>
          <w:lang w:val="en-US"/>
        </w:rPr>
      </w:pPr>
      <w:r w:rsidRPr="002A1DB6">
        <w:rPr>
          <w:b/>
          <w:bCs/>
          <w:lang w:val="en-US"/>
        </w:rPr>
        <w:t>GEM-E3</w:t>
      </w:r>
      <w:r w:rsidRPr="1F883418">
        <w:rPr>
          <w:lang w:val="en-US"/>
        </w:rPr>
        <w:t>:</w:t>
      </w:r>
      <w:r w:rsidR="004D475C">
        <w:rPr>
          <w:lang w:val="en-US"/>
        </w:rPr>
        <w:t xml:space="preserve"> </w:t>
      </w:r>
      <w:r w:rsidRPr="1F883418">
        <w:rPr>
          <w:lang w:val="en-US"/>
        </w:rPr>
        <w:t>In GEM-E3, the G</w:t>
      </w:r>
      <w:r w:rsidR="00182403">
        <w:rPr>
          <w:lang w:val="en-US"/>
        </w:rPr>
        <w:t>ini</w:t>
      </w:r>
      <w:r w:rsidRPr="1F883418">
        <w:rPr>
          <w:lang w:val="en-US"/>
        </w:rPr>
        <w:t xml:space="preserve"> index is computed from disposable incomes before social transfers. The method to represent multiple households in GEM-E3 is based on the soft-linkage of the standard CGE model with a single representative household with </w:t>
      </w:r>
      <w:r w:rsidRPr="1F883418">
        <w:rPr>
          <w:rFonts w:eastAsia="Times New Roman"/>
          <w:sz w:val="22"/>
          <w:szCs w:val="22"/>
          <w:lang w:val="en-US"/>
        </w:rPr>
        <w:t xml:space="preserve">a satellite module with multiple households (representing ten income deciles), through a sequential exchange of prices, incomes and demands until an equilibrium is established </w:t>
      </w:r>
      <w:r w:rsidR="00013C26">
        <w:rPr>
          <w:rFonts w:eastAsia="Times New Roman"/>
          <w:sz w:val="22"/>
          <w:szCs w:val="22"/>
          <w:lang w:val="en-US"/>
        </w:rPr>
        <w:fldChar w:fldCharType="begin"/>
      </w:r>
      <w:r w:rsidR="00013C26">
        <w:rPr>
          <w:rFonts w:eastAsia="Times New Roman"/>
          <w:sz w:val="22"/>
          <w:szCs w:val="22"/>
          <w:lang w:val="en-US"/>
        </w:rPr>
        <w:instrText xml:space="preserve"> ADDIN ZOTERO_ITEM CSL_CITATION {"citationID":"V5qnCf18","properties":{"formattedCitation":"(Fragkos {\\i{}et al.}, 2021)","plainCitation":"(Fragkos et al., 2021)","noteIndex":0},"citationItems":[{"id":19183,"uris":["http://zotero.org/users/24125/items/2TWAA8HH"],"itemData":{"id":19183,"type":"article-journal","abstract":"The implementation of determined or ambitious environmental policies may lead to regressive distributional impacts, disproportionately affecting low income population groups. The imposition of additional taxes on energy products affects negatively low-income households that face funding scarcity, increasing the risk of energy poverty. In this study, the state-of-the-art general equilibrium model GEM-E3-FIT is significantly expanded to represent ten income classes in all EU Member States. Each income class is differentiated by income sources, savings, and consumption patterns. We use the new modelling capabilities of GEM-E3-FIT to quantify the distributional impacts of European Union's ambitious emission reduction targets, in particular exploring their effects on income by skill and on energy-related expenditure by income class. The analysis shows that the transition to climate neutrality may increase modestly inequality across income classes, with low-income households facing the most negative effects. However, using carbon tax revenues as lump-sum transfers to support household income and as reduced social security contributions will increase employment and reduce income inequality across households in EU countries.","container-title":"Energy","DOI":"10.1016/j.energy.2021.121591","ISSN":"0360-5442","journalAbbreviation":"Energy","language":"en","page":"121591","source":"ScienceDirect","title":"Equity implications of climate policy: Assessing the social and distributional impacts of emission reduction targets in the European Union","title-short":"Equity implications of climate policy","volume":"237","author":[{"family":"Fragkos","given":"Panagiotis"},{"family":"Fragkiadakis","given":"Kostas"},{"family":"Sovacool","given":"Benjamin"},{"family":"Paroussos","given":"Leonidas"},{"family":"Vrontisi","given":"Zoi"},{"family":"Charalampidis","given":"Ioannis"}],"issued":{"date-parts":[["2021",12,15]]}}}],"schema":"https://github.com/citation-style-language/schema/raw/master/csl-citation.json"} </w:instrText>
      </w:r>
      <w:r w:rsidR="00013C26">
        <w:rPr>
          <w:rFonts w:eastAsia="Times New Roman"/>
          <w:sz w:val="22"/>
          <w:szCs w:val="22"/>
          <w:lang w:val="en-US"/>
        </w:rPr>
        <w:fldChar w:fldCharType="separate"/>
      </w:r>
      <w:r w:rsidR="00013C26" w:rsidRPr="00013C26">
        <w:rPr>
          <w:sz w:val="22"/>
        </w:rPr>
        <w:t xml:space="preserve">(Fragkos </w:t>
      </w:r>
      <w:r w:rsidR="00013C26" w:rsidRPr="00013C26">
        <w:rPr>
          <w:i/>
          <w:iCs/>
          <w:sz w:val="22"/>
        </w:rPr>
        <w:t>et al.</w:t>
      </w:r>
      <w:r w:rsidR="00013C26" w:rsidRPr="00013C26">
        <w:rPr>
          <w:sz w:val="22"/>
        </w:rPr>
        <w:t>, 2021)</w:t>
      </w:r>
      <w:r w:rsidR="00013C26">
        <w:rPr>
          <w:rFonts w:eastAsia="Times New Roman"/>
          <w:sz w:val="22"/>
          <w:szCs w:val="22"/>
          <w:lang w:val="en-US"/>
        </w:rPr>
        <w:fldChar w:fldCharType="end"/>
      </w:r>
      <w:r w:rsidRPr="1F883418">
        <w:rPr>
          <w:rFonts w:eastAsia="Times New Roman"/>
          <w:sz w:val="22"/>
          <w:szCs w:val="22"/>
          <w:lang w:val="en-US"/>
        </w:rPr>
        <w:t xml:space="preserve">. The satellite module is first calibrated using the aggregate consumption, wage and non-wage income, population and labour demand and supply of the GEM-E3 model and the distribution data by decile. Then, GEM-E3 projects total income, sectoral production, end-user prices and demand for skills </w:t>
      </w:r>
      <w:r w:rsidRPr="1F883418">
        <w:rPr>
          <w:rFonts w:eastAsia="Times New Roman"/>
          <w:sz w:val="22"/>
          <w:szCs w:val="22"/>
        </w:rPr>
        <w:t xml:space="preserve">until 2050. Total wage and non-wage income, transfers, prices of goods and services, wages by skill and skill requirements are passed on to the satellite model </w:t>
      </w:r>
      <w:r w:rsidR="0035632F" w:rsidRPr="1F883418">
        <w:rPr>
          <w:rFonts w:eastAsia="Times New Roman"/>
          <w:sz w:val="22"/>
          <w:szCs w:val="22"/>
        </w:rPr>
        <w:t>to</w:t>
      </w:r>
      <w:r w:rsidRPr="1F883418">
        <w:rPr>
          <w:rFonts w:eastAsia="Times New Roman"/>
          <w:sz w:val="22"/>
          <w:szCs w:val="22"/>
        </w:rPr>
        <w:t xml:space="preserve"> compute the income and consumption for income deciles and estimate the impacts on different households. Then, the consumption by decile is aggregated to the single representative household and is plugged into GEM-E3 where a new set of prices and wages are computed. This loop continues until the change in prices and demand is below a certain threshold ensuring general equilibrium. The satellite model aggregates households in 10 income classes with different income sources, consumption and saving patterns. The equivalized household size by decile and the type of labour skills supplied by each decile are assumed to remain constant. The link between skills, sectoral activity and income deciles depends on the skills acquired by</w:t>
      </w:r>
      <w:r w:rsidRPr="1F883418">
        <w:rPr>
          <w:rFonts w:eastAsia="Times New Roman"/>
          <w:sz w:val="22"/>
          <w:szCs w:val="22"/>
          <w:lang w:val="en-US"/>
        </w:rPr>
        <w:t xml:space="preserve"> each household and the evolution of sectoral production. The analysis of climate policy impacts on energy poverty may require a finer resolution of individual households to capture the effects at the tales of the distribution, but data are not available at more granular level </w:t>
      </w:r>
      <w:r w:rsidR="00B4446C">
        <w:rPr>
          <w:rFonts w:eastAsia="Times New Roman"/>
          <w:sz w:val="22"/>
          <w:szCs w:val="22"/>
          <w:lang w:val="en-US"/>
        </w:rPr>
        <w:fldChar w:fldCharType="begin"/>
      </w:r>
      <w:r w:rsidR="00B4446C">
        <w:rPr>
          <w:rFonts w:eastAsia="Times New Roman"/>
          <w:sz w:val="22"/>
          <w:szCs w:val="22"/>
          <w:lang w:val="en-US"/>
        </w:rPr>
        <w:instrText xml:space="preserve"> ADDIN ZOTERO_ITEM CSL_CITATION {"citationID":"28nYYRSI","properties":{"formattedCitation":"(Fragkos {\\i{}et al.}, 2021)","plainCitation":"(Fragkos et al., 2021)","noteIndex":0},"citationItems":[{"id":19183,"uris":["http://zotero.org/users/24125/items/2TWAA8HH"],"itemData":{"id":19183,"type":"article-journal","abstract":"The implementation of determined or ambitious environmental policies may lead to regressive distributional impacts, disproportionately affecting low income population groups. The imposition of additional taxes on energy products affects negatively low-income households that face funding scarcity, increasing the risk of energy poverty. In this study, the state-of-the-art general equilibrium model GEM-E3-FIT is significantly expanded to represent ten income classes in all EU Member States. Each income class is differentiated by income sources, savings, and consumption patterns. We use the new modelling capabilities of GEM-E3-FIT to quantify the distributional impacts of European Union's ambitious emission reduction targets, in particular exploring their effects on income by skill and on energy-related expenditure by income class. The analysis shows that the transition to climate neutrality may increase modestly inequality across income classes, with low-income households facing the most negative effects. However, using carbon tax revenues as lump-sum transfers to support household income and as reduced social security contributions will increase employment and reduce income inequality across households in EU countries.","container-title":"Energy","DOI":"10.1016/j.energy.2021.121591","ISSN":"0360-5442","journalAbbreviation":"Energy","language":"en","page":"121591","source":"ScienceDirect","title":"Equity implications of climate policy: Assessing the social and distributional impacts of emission reduction targets in the European Union","title-short":"Equity implications of climate policy","volume":"237","author":[{"family":"Fragkos","given":"Panagiotis"},{"family":"Fragkiadakis","given":"Kostas"},{"family":"Sovacool","given":"Benjamin"},{"family":"Paroussos","given":"Leonidas"},{"family":"Vrontisi","given":"Zoi"},{"family":"Charalampidis","given":"Ioannis"}],"issued":{"date-parts":[["2021",12,15]]}}}],"schema":"https://github.com/citation-style-language/schema/raw/master/csl-citation.json"} </w:instrText>
      </w:r>
      <w:r w:rsidR="00B4446C">
        <w:rPr>
          <w:rFonts w:eastAsia="Times New Roman"/>
          <w:sz w:val="22"/>
          <w:szCs w:val="22"/>
          <w:lang w:val="en-US"/>
        </w:rPr>
        <w:fldChar w:fldCharType="separate"/>
      </w:r>
      <w:r w:rsidR="00B4446C" w:rsidRPr="00B4446C">
        <w:rPr>
          <w:sz w:val="22"/>
        </w:rPr>
        <w:t xml:space="preserve">(Fragkos </w:t>
      </w:r>
      <w:r w:rsidR="00B4446C" w:rsidRPr="00B4446C">
        <w:rPr>
          <w:i/>
          <w:iCs/>
          <w:sz w:val="22"/>
        </w:rPr>
        <w:t>et al.</w:t>
      </w:r>
      <w:r w:rsidR="00B4446C" w:rsidRPr="00B4446C">
        <w:rPr>
          <w:sz w:val="22"/>
        </w:rPr>
        <w:t>, 2021)</w:t>
      </w:r>
      <w:r w:rsidR="00B4446C">
        <w:rPr>
          <w:rFonts w:eastAsia="Times New Roman"/>
          <w:sz w:val="22"/>
          <w:szCs w:val="22"/>
          <w:lang w:val="en-US"/>
        </w:rPr>
        <w:fldChar w:fldCharType="end"/>
      </w:r>
      <w:r w:rsidRPr="1F883418">
        <w:rPr>
          <w:rFonts w:eastAsia="Times New Roman"/>
          <w:sz w:val="22"/>
          <w:szCs w:val="22"/>
          <w:lang w:val="en-US"/>
        </w:rPr>
        <w:t>.</w:t>
      </w:r>
    </w:p>
    <w:p w14:paraId="13E2C1DA" w14:textId="76F6F903" w:rsidR="1F883418" w:rsidRDefault="1F883418" w:rsidP="1F883418">
      <w:pPr>
        <w:jc w:val="both"/>
        <w:rPr>
          <w:rFonts w:eastAsia="Times New Roman"/>
          <w:sz w:val="22"/>
          <w:szCs w:val="22"/>
          <w:lang w:val="en-US"/>
        </w:rPr>
      </w:pPr>
    </w:p>
    <w:p w14:paraId="5FAF305B" w14:textId="77777777" w:rsidR="00693CC3" w:rsidRPr="00BC5933" w:rsidRDefault="00693CC3" w:rsidP="00BC5933">
      <w:pPr>
        <w:jc w:val="both"/>
        <w:rPr>
          <w:lang w:val="en-US"/>
        </w:rPr>
      </w:pPr>
    </w:p>
    <w:p w14:paraId="032DAAF9" w14:textId="71942C28" w:rsidR="00693CC3" w:rsidRPr="00BC5933" w:rsidRDefault="76371F3F" w:rsidP="00BC5933">
      <w:pPr>
        <w:jc w:val="both"/>
        <w:rPr>
          <w:lang w:val="en-US"/>
        </w:rPr>
      </w:pPr>
      <w:r w:rsidRPr="00BC5933">
        <w:rPr>
          <w:b/>
          <w:bCs/>
          <w:lang w:val="en-US"/>
        </w:rPr>
        <w:t>Imaclim</w:t>
      </w:r>
      <w:r w:rsidRPr="00BC5933">
        <w:rPr>
          <w:lang w:val="en-US"/>
        </w:rPr>
        <w:t xml:space="preserve">: In Imaclim, we calibrate baseline deciles over time using country income </w:t>
      </w:r>
      <w:r w:rsidR="00723E36">
        <w:rPr>
          <w:lang w:val="en-US"/>
        </w:rPr>
        <w:t>G</w:t>
      </w:r>
      <w:r w:rsidRPr="00BC5933">
        <w:rPr>
          <w:lang w:val="en-US"/>
        </w:rPr>
        <w:t xml:space="preserve">ini projections until 2100 in the SSP2 scenario, as provided by (Rao et al., </w:t>
      </w:r>
      <w:r w:rsidR="663E471F" w:rsidRPr="00BC5933">
        <w:rPr>
          <w:lang w:val="en-US"/>
        </w:rPr>
        <w:t>2019</w:t>
      </w:r>
      <w:r w:rsidRPr="00BC5933">
        <w:rPr>
          <w:lang w:val="en-US"/>
        </w:rPr>
        <w:t xml:space="preserve">), and using GDP and population data for year 2014 from the World Bank Development Indicators database (GDP is expressed in </w:t>
      </w:r>
      <w:r w:rsidRPr="00BC5933">
        <w:rPr>
          <w:lang w:val="en-US"/>
        </w:rPr>
        <w:lastRenderedPageBreak/>
        <w:t xml:space="preserve">constant 2015 USD, population in number of individuals). We assume that for each country, income is distributed across deciles according to a lognormal distribution. We can deduce standard deviations from country Gini indices, and then a Lorenz curve for each country and each time step. The Lorenz curve represents the share of overall income, consumption or wealth detained as a function of the cumulative share of the population. We then aggregate country Lorenz curves into regional Lorenz curves, following the regional definition of the model (12 world regions in the case of Imaclim). In the case of country regions (US, Canada, India, China, Brazil), we directly use the Lorenz curves deduced from the income Gini indices available in (Rao et al., </w:t>
      </w:r>
      <w:r w:rsidR="663E471F" w:rsidRPr="00BC5933">
        <w:rPr>
          <w:lang w:val="en-US"/>
        </w:rPr>
        <w:t>2019</w:t>
      </w:r>
      <w:r w:rsidRPr="00BC5933">
        <w:rPr>
          <w:lang w:val="en-US"/>
        </w:rPr>
        <w:t xml:space="preserve">). The regional consumption deciles obtained from the calibration are then fed into the model. They are modified depending on the climate scenario considered. Mitigation costs and carbon tax burdens are distributed across deciles using consumption elasticities. The initial burden of a carbon tax is the distribution of mitigation costs and carbon tax payments before tax revenues are recycled and redistributed. We follow the approach of (Budolfson et al., 2021) and write total consumption </w:t>
      </w:r>
      <m:oMath>
        <m:sSub>
          <m:sSubPr>
            <m:ctrlPr>
              <w:rPr>
                <w:rFonts w:ascii="Cambria Math" w:hAnsi="Cambria Math"/>
              </w:rPr>
            </m:ctrlPr>
          </m:sSubPr>
          <m:e>
            <m:r>
              <w:rPr>
                <w:rFonts w:ascii="Cambria Math" w:hAnsi="Cambria Math"/>
              </w:rPr>
              <m:t>C</m:t>
            </m:r>
          </m:e>
          <m:sub>
            <m:r>
              <w:rPr>
                <w:rFonts w:ascii="Cambria Math" w:hAnsi="Cambria Math"/>
              </w:rPr>
              <m:t>rjt</m:t>
            </m:r>
          </m:sub>
        </m:sSub>
      </m:oMath>
      <w:r w:rsidRPr="00BC5933">
        <w:rPr>
          <w:lang w:val="en-US"/>
        </w:rPr>
        <w:t xml:space="preserve"> of decile j in region r and at date t as</w:t>
      </w:r>
      <m:oMath>
        <m:sSub>
          <m:sSubPr>
            <m:ctrlPr>
              <w:rPr>
                <w:rFonts w:ascii="Cambria Math" w:hAnsi="Cambria Math"/>
              </w:rPr>
            </m:ctrlPr>
          </m:sSubPr>
          <m:e>
            <m:r>
              <w:rPr>
                <w:rFonts w:ascii="Cambria Math" w:hAnsi="Cambria Math"/>
              </w:rPr>
              <m:t>C</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rt</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rjt</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rt</m:t>
            </m:r>
          </m:sub>
        </m:sSub>
        <m:r>
          <w:rPr>
            <w:rFonts w:ascii="Cambria Math" w:hAnsi="Cambria Math"/>
          </w:rPr>
          <m:t>⋅ta</m:t>
        </m:r>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rjt</m:t>
            </m:r>
          </m:sub>
        </m:sSub>
      </m:oMath>
      <w:r w:rsidRPr="00BC5933">
        <w:rPr>
          <w:lang w:val="en-US"/>
        </w:rPr>
        <w:t xml:space="preserve">. The first term is total gross consumption of decile j. Total baseline (gross) consumption of region r at date t is noted </w:t>
      </w:r>
      <m:oMath>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oMath>
      <w:r w:rsidRPr="00BC5933">
        <w:rPr>
          <w:lang w:val="en-US"/>
        </w:rPr>
        <w:t xml:space="preserve">. The second term is the mitigation cost. The third term is </w:t>
      </w:r>
      <w:r w:rsidR="001B1BEE" w:rsidRPr="00BC5933">
        <w:rPr>
          <w:lang w:val="en-US"/>
        </w:rPr>
        <w:t>tax</w:t>
      </w:r>
      <w:r w:rsidRPr="00BC5933">
        <w:rPr>
          <w:lang w:val="en-US"/>
        </w:rPr>
        <w:t xml:space="preserve"> repayment. </w:t>
      </w:r>
      <m:oMath>
        <m:sSub>
          <m:sSubPr>
            <m:ctrlPr>
              <w:rPr>
                <w:rFonts w:ascii="Cambria Math" w:hAnsi="Cambria Math"/>
              </w:rPr>
            </m:ctrlPr>
          </m:sSubPr>
          <m:e>
            <m:r>
              <w:rPr>
                <w:rFonts w:ascii="Cambria Math" w:hAnsi="Cambria Math"/>
              </w:rPr>
              <m:t>E</m:t>
            </m:r>
          </m:e>
          <m:sub>
            <m:r>
              <w:rPr>
                <w:rFonts w:ascii="Cambria Math" w:hAnsi="Cambria Math"/>
              </w:rPr>
              <m:t>rt</m:t>
            </m:r>
          </m:sub>
        </m:sSub>
      </m:oMath>
      <w:r w:rsidRPr="00BC5933">
        <w:rPr>
          <w:lang w:val="en-US"/>
        </w:rPr>
        <w:t xml:space="preserve"> is the emissions from region r at date t, </w:t>
      </w:r>
      <m:oMath>
        <m:sSub>
          <m:sSubPr>
            <m:ctrlPr>
              <w:rPr>
                <w:rFonts w:ascii="Cambria Math" w:hAnsi="Cambria Math"/>
              </w:rPr>
            </m:ctrlPr>
          </m:sSubPr>
          <m:e>
            <m:r>
              <w:rPr>
                <w:rFonts w:ascii="Cambria Math" w:hAnsi="Cambria Math"/>
              </w:rPr>
              <m:t>E</m:t>
            </m:r>
          </m:e>
          <m:sub>
            <m:r>
              <w:rPr>
                <w:rFonts w:ascii="Cambria Math" w:hAnsi="Cambria Math"/>
              </w:rPr>
              <m:t>rt</m:t>
            </m:r>
          </m:sub>
        </m:sSub>
        <m:r>
          <w:rPr>
            <w:rFonts w:ascii="Cambria Math" w:hAnsi="Cambria Math"/>
          </w:rPr>
          <m:t>⋅ta</m:t>
        </m:r>
        <m:sSub>
          <m:sSubPr>
            <m:ctrlPr>
              <w:rPr>
                <w:rFonts w:ascii="Cambria Math" w:hAnsi="Cambria Math"/>
              </w:rPr>
            </m:ctrlPr>
          </m:sSubPr>
          <m:e>
            <m:r>
              <w:rPr>
                <w:rFonts w:ascii="Cambria Math" w:hAnsi="Cambria Math"/>
              </w:rPr>
              <m:t>x</m:t>
            </m:r>
          </m:e>
          <m:sub>
            <m:r>
              <w:rPr>
                <w:rFonts w:ascii="Cambria Math" w:hAnsi="Cambria Math"/>
              </w:rPr>
              <m:t>t</m:t>
            </m:r>
          </m:sub>
        </m:sSub>
      </m:oMath>
      <w:r w:rsidRPr="00BC5933">
        <w:rPr>
          <w:lang w:val="en-US"/>
        </w:rPr>
        <w:t xml:space="preserve"> is the carbon tax revenue from region r at date t. Within each country, mitigation costs (i.e., the initial burden) are assumed to be distributed across deciles using the same consumption elasticity for a given country at a given time (</w:t>
      </w:r>
      <m:oMath>
        <m:sSub>
          <m:sSubPr>
            <m:ctrlPr>
              <w:rPr>
                <w:rFonts w:ascii="Cambria Math" w:hAnsi="Cambria Math"/>
              </w:rPr>
            </m:ctrlPr>
          </m:sSubPr>
          <m:e>
            <m:r>
              <w:rPr>
                <w:rFonts w:ascii="Cambria Math" w:hAnsi="Cambria Math"/>
              </w:rPr>
              <m:t>τ</m:t>
            </m:r>
          </m:e>
          <m:sub>
            <m:r>
              <w:rPr>
                <w:rFonts w:ascii="Cambria Math" w:hAnsi="Cambria Math"/>
              </w:rPr>
              <m:t>rjt</m:t>
            </m:r>
          </m:sub>
        </m:sSub>
      </m:oMath>
      <w:r w:rsidRPr="00BC5933">
        <w:rPr>
          <w:lang w:val="en-US"/>
        </w:rPr>
        <w:t xml:space="preserve">). Consumption elasticities of the initial burden depend on regional GDP per capita at each time </w:t>
      </w:r>
      <w:r w:rsidR="00E4192E" w:rsidRPr="00BC5933">
        <w:rPr>
          <w:lang w:val="en-US"/>
        </w:rPr>
        <w:t>step and</w:t>
      </w:r>
      <w:r w:rsidRPr="00BC5933">
        <w:rPr>
          <w:lang w:val="en-US"/>
        </w:rPr>
        <w:t xml:space="preserve"> are calibrated using the estimation provided in (Budolfson et al., 2021), which the authors derive from a review of the literature on the initial burden of carbon taxation across countries before the redistribution of tax revenues. The distributional weights </w:t>
      </w:r>
      <m:oMath>
        <m:sSub>
          <m:sSubPr>
            <m:ctrlPr>
              <w:rPr>
                <w:rFonts w:ascii="Cambria Math" w:hAnsi="Cambria Math"/>
              </w:rPr>
            </m:ctrlPr>
          </m:sSubPr>
          <m:e>
            <m:r>
              <w:rPr>
                <w:rFonts w:ascii="Cambria Math" w:hAnsi="Cambria Math"/>
              </w:rPr>
              <m:t>τ</m:t>
            </m:r>
          </m:e>
          <m:sub>
            <m:r>
              <w:rPr>
                <w:rFonts w:ascii="Cambria Math" w:hAnsi="Cambria Math"/>
              </w:rPr>
              <m:t>rjt</m:t>
            </m:r>
          </m:sub>
        </m:sSub>
      </m:oMath>
      <w:r w:rsidRPr="00BC5933">
        <w:rPr>
          <w:lang w:val="en-US"/>
        </w:rPr>
        <w:t xml:space="preserve"> are calculated as a function of the consumption elasticity of the initial burden </w:t>
      </w:r>
      <m:oMath>
        <m:sSub>
          <m:sSubPr>
            <m:ctrlPr>
              <w:rPr>
                <w:rFonts w:ascii="Cambria Math" w:hAnsi="Cambria Math"/>
              </w:rPr>
            </m:ctrlPr>
          </m:sSubPr>
          <m:e>
            <m:r>
              <w:rPr>
                <w:rFonts w:ascii="Cambria Math" w:hAnsi="Cambria Math"/>
              </w:rPr>
              <m:t>w</m:t>
            </m:r>
          </m:e>
          <m:sub>
            <m:r>
              <w:rPr>
                <w:rFonts w:ascii="Cambria Math" w:hAnsi="Cambria Math"/>
              </w:rPr>
              <m:t>r,t</m:t>
            </m:r>
          </m:sub>
        </m:sSub>
      </m:oMath>
      <w:r w:rsidRPr="00BC5933">
        <w:rPr>
          <w:lang w:val="en-US"/>
        </w:rPr>
        <w:t xml:space="preserve"> as (recall that </w:t>
      </w:r>
      <m:oMath>
        <m:sSub>
          <m:sSubPr>
            <m:ctrlPr>
              <w:rPr>
                <w:rFonts w:ascii="Cambria Math" w:hAnsi="Cambria Math"/>
              </w:rPr>
            </m:ctrlPr>
          </m:sSubPr>
          <m:e>
            <m:r>
              <w:rPr>
                <w:rFonts w:ascii="Cambria Math" w:hAnsi="Cambria Math"/>
              </w:rPr>
              <m:t>n</m:t>
            </m:r>
          </m:e>
          <m:sub>
            <m:r>
              <w:rPr>
                <w:rFonts w:ascii="Cambria Math" w:hAnsi="Cambria Math"/>
              </w:rPr>
              <m:t>q</m:t>
            </m:r>
          </m:sub>
        </m:sSub>
      </m:oMath>
      <w:r w:rsidRPr="00BC5933">
        <w:rPr>
          <w:lang w:val="en-US"/>
        </w:rPr>
        <w:t xml:space="preserve"> is the number of quantiles) </w:t>
      </w:r>
      <m:oMath>
        <m:sSub>
          <m:sSubPr>
            <m:ctrlPr>
              <w:rPr>
                <w:rFonts w:ascii="Cambria Math" w:hAnsi="Cambria Math"/>
              </w:rPr>
            </m:ctrlPr>
          </m:sSubPr>
          <m:e>
            <m:r>
              <w:rPr>
                <w:rFonts w:ascii="Cambria Math" w:hAnsi="Cambria Math"/>
              </w:rPr>
              <m:t>τ</m:t>
            </m:r>
          </m:e>
          <m:sub>
            <m:r>
              <w:rPr>
                <w:rFonts w:ascii="Cambria Math" w:hAnsi="Cambria Math"/>
              </w:rPr>
              <m:t>rjt</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q</m:t>
            </m:r>
          </m:sub>
        </m:sSub>
        <m: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rjt</m:t>
            </m:r>
          </m:sub>
          <m:sup>
            <m:sSub>
              <m:sSubPr>
                <m:ctrlPr>
                  <w:rPr>
                    <w:rFonts w:ascii="Cambria Math" w:hAnsi="Cambria Math"/>
                  </w:rPr>
                </m:ctrlPr>
              </m:sSubPr>
              <m:e>
                <m:r>
                  <w:rPr>
                    <w:rFonts w:ascii="Cambria Math" w:hAnsi="Cambria Math"/>
                  </w:rPr>
                  <m:t>w</m:t>
                </m:r>
              </m:e>
              <m:sub>
                <m:r>
                  <w:rPr>
                    <w:rFonts w:ascii="Cambria Math" w:hAnsi="Cambria Math"/>
                  </w:rPr>
                  <m:t>rt </m:t>
                </m:r>
              </m:sub>
            </m:sSub>
          </m:sup>
        </m:sSubSup>
        <m:r>
          <m:rPr>
            <m:lit/>
          </m:rPr>
          <w:rPr>
            <w:rFonts w:ascii="Cambria Math" w:hAnsi="Cambria Math"/>
          </w:rPr>
          <m:t>/</m:t>
        </m:r>
        <m:r>
          <w:rPr>
            <w:rFonts w:ascii="Cambria Math" w:hAnsi="Cambria Math"/>
          </w:rPr>
          <m:t> </m:t>
        </m:r>
        <m:nary>
          <m:naryPr>
            <m:chr m:val="∑"/>
            <m:limLoc m:val="subSup"/>
            <m:supHide m:val="1"/>
            <m:ctrlPr>
              <w:rPr>
                <w:rFonts w:ascii="Cambria Math" w:hAnsi="Cambria Math"/>
                <w:i/>
              </w:rPr>
            </m:ctrlPr>
          </m:naryPr>
          <m:sub>
            <m:r>
              <w:rPr>
                <w:rFonts w:ascii="Cambria Math" w:hAnsi="Cambria Math"/>
              </w:rPr>
              <m:t>k</m:t>
            </m:r>
          </m:sub>
          <m:sup/>
          <m:e>
            <m:sSubSup>
              <m:sSubSupPr>
                <m:ctrlPr>
                  <w:rPr>
                    <w:rFonts w:ascii="Cambria Math" w:hAnsi="Cambria Math"/>
                  </w:rPr>
                </m:ctrlPr>
              </m:sSubSupPr>
              <m:e>
                <m:r>
                  <w:rPr>
                    <w:rFonts w:ascii="Cambria Math" w:hAnsi="Cambria Math"/>
                  </w:rPr>
                  <m:t>q</m:t>
                </m:r>
              </m:e>
              <m:sub>
                <m:r>
                  <w:rPr>
                    <w:rFonts w:ascii="Cambria Math" w:hAnsi="Cambria Math"/>
                  </w:rPr>
                  <m:t>rkt</m:t>
                </m:r>
              </m:sub>
              <m:sup>
                <m:sSub>
                  <m:sSubPr>
                    <m:ctrlPr>
                      <w:rPr>
                        <w:rFonts w:ascii="Cambria Math" w:hAnsi="Cambria Math"/>
                      </w:rPr>
                    </m:ctrlPr>
                  </m:sSubPr>
                  <m:e>
                    <m:r>
                      <w:rPr>
                        <w:rFonts w:ascii="Cambria Math" w:hAnsi="Cambria Math"/>
                      </w:rPr>
                      <m:t>w</m:t>
                    </m:r>
                  </m:e>
                  <m:sub>
                    <m:r>
                      <w:rPr>
                        <w:rFonts w:ascii="Cambria Math" w:hAnsi="Cambria Math"/>
                      </w:rPr>
                      <m:t>rt</m:t>
                    </m:r>
                  </m:sub>
                </m:sSub>
              </m:sup>
            </m:sSubSup>
          </m:e>
        </m:nary>
      </m:oMath>
      <w:r w:rsidRPr="00BC5933">
        <w:rPr>
          <w:lang w:val="en-US"/>
        </w:rPr>
        <w:t>.</w:t>
      </w:r>
    </w:p>
    <w:p w14:paraId="61208B13" w14:textId="17AC082A" w:rsidR="00693CC3" w:rsidRPr="00BC5933" w:rsidRDefault="76371F3F" w:rsidP="00BC5933">
      <w:pPr>
        <w:jc w:val="both"/>
        <w:rPr>
          <w:lang w:val="en-US"/>
        </w:rPr>
      </w:pPr>
      <w:r w:rsidRPr="00BC5933">
        <w:rPr>
          <w:lang w:val="en-US"/>
        </w:rPr>
        <w:t xml:space="preserve">Finally, the value of </w:t>
      </w:r>
      <m:oMath>
        <m:sSub>
          <m:sSubPr>
            <m:ctrlPr>
              <w:rPr>
                <w:rFonts w:ascii="Cambria Math" w:hAnsi="Cambria Math"/>
              </w:rPr>
            </m:ctrlPr>
          </m:sSubPr>
          <m:e>
            <m:r>
              <w:rPr>
                <w:rFonts w:ascii="Cambria Math" w:hAnsi="Cambria Math"/>
              </w:rPr>
              <m:t>δ</m:t>
            </m:r>
          </m:e>
          <m:sub>
            <m:r>
              <w:rPr>
                <w:rFonts w:ascii="Cambria Math" w:hAnsi="Cambria Math"/>
              </w:rPr>
              <m:t>rjt</m:t>
            </m:r>
          </m:sub>
        </m:sSub>
      </m:oMath>
      <w:r w:rsidRPr="00BC5933">
        <w:rPr>
          <w:lang w:val="en-US"/>
        </w:rPr>
        <w:t xml:space="preserve"> determines the mode of carbon tax revenue recycling. If we set </w:t>
      </w:r>
      <m:oMath>
        <m:sSub>
          <m:sSubPr>
            <m:ctrlPr>
              <w:rPr>
                <w:rFonts w:ascii="Cambria Math" w:hAnsi="Cambria Math"/>
              </w:rPr>
            </m:ctrlPr>
          </m:sSubPr>
          <m:e>
            <m:r>
              <w:rPr>
                <w:rFonts w:ascii="Cambria Math" w:hAnsi="Cambria Math"/>
              </w:rPr>
              <m:t>δ</m:t>
            </m:r>
          </m:e>
          <m:sub>
            <m:r>
              <w:rPr>
                <w:rFonts w:ascii="Cambria Math" w:hAnsi="Cambria Math"/>
              </w:rPr>
              <m:t>rjt</m:t>
            </m:r>
          </m:sub>
        </m:sSub>
        <m:r>
          <w:rPr>
            <w:rFonts w:ascii="Cambria Math" w:hAnsi="Cambria Math"/>
          </w:rPr>
          <m:t>=0</m:t>
        </m:r>
      </m:oMath>
      <w:r w:rsidRPr="00BC5933">
        <w:rPr>
          <w:lang w:val="en-US"/>
        </w:rPr>
        <w:t xml:space="preserve">, the recycling of carbon tax revenues does not alter the initial burden distribution, and we have </w:t>
      </w:r>
      <m:oMath>
        <m:sSub>
          <m:sSubPr>
            <m:ctrlPr>
              <w:rPr>
                <w:rFonts w:ascii="Cambria Math" w:hAnsi="Cambria Math"/>
              </w:rPr>
            </m:ctrlPr>
          </m:sSubPr>
          <m:e>
            <m:r>
              <w:rPr>
                <w:rFonts w:ascii="Cambria Math" w:hAnsi="Cambria Math"/>
              </w:rPr>
              <m:t>C</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rt</m:t>
            </m:r>
          </m:sub>
        </m:sSub>
        <m:sSub>
          <m:sSubPr>
            <m:ctrlPr>
              <w:rPr>
                <w:rFonts w:ascii="Cambria Math" w:hAnsi="Cambria Math"/>
              </w:rPr>
            </m:ctrlPr>
          </m:sSubPr>
          <m:e>
            <m:r>
              <w:rPr>
                <w:rFonts w:ascii="Cambria Math" w:hAnsi="Cambria Math"/>
              </w:rPr>
              <m:t>τ</m:t>
            </m:r>
          </m:e>
          <m:sub>
            <m:r>
              <w:rPr>
                <w:rFonts w:ascii="Cambria Math" w:hAnsi="Cambria Math"/>
              </w:rPr>
              <m:t>rjt</m:t>
            </m:r>
          </m:sub>
        </m:sSub>
      </m:oMath>
      <w:r w:rsidRPr="00BC5933">
        <w:rPr>
          <w:lang w:val="en-US"/>
        </w:rPr>
        <w:t xml:space="preserve">. If we set </w:t>
      </w:r>
      <m:oMath>
        <m:sSub>
          <m:sSubPr>
            <m:ctrlPr>
              <w:rPr>
                <w:rFonts w:ascii="Cambria Math" w:hAnsi="Cambria Math"/>
              </w:rPr>
            </m:ctrlPr>
          </m:sSubPr>
          <m:e>
            <m:r>
              <w:rPr>
                <w:rFonts w:ascii="Cambria Math" w:hAnsi="Cambria Math"/>
              </w:rPr>
              <m:t>δ</m:t>
            </m:r>
          </m:e>
          <m:sub>
            <m:r>
              <w:rPr>
                <w:rFonts w:ascii="Cambria Math" w:hAnsi="Cambria Math"/>
              </w:rPr>
              <m:t>rjt</m:t>
            </m:r>
          </m:sub>
        </m:sSub>
        <m:r>
          <w:rPr>
            <w:rFonts w:ascii="Cambria Math" w:hAnsi="Cambria Math"/>
          </w:rPr>
          <m:t>≠0</m:t>
        </m:r>
      </m:oMath>
      <w:r w:rsidRPr="00BC5933">
        <w:rPr>
          <w:lang w:val="en-US"/>
        </w:rPr>
        <w:t xml:space="preserve">, the recycling of carbon tax revenues alters the initial burden distribution, and we have </w:t>
      </w:r>
      <m:oMath>
        <m:sSub>
          <m:sSubPr>
            <m:ctrlPr>
              <w:rPr>
                <w:rFonts w:ascii="Cambria Math" w:hAnsi="Cambria Math"/>
              </w:rPr>
            </m:ctrlPr>
          </m:sSubPr>
          <m:e>
            <m:r>
              <w:rPr>
                <w:rFonts w:ascii="Cambria Math" w:hAnsi="Cambria Math"/>
              </w:rPr>
              <m:t>C</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rt</m:t>
            </m:r>
          </m:sub>
        </m:sSub>
        <m:sSub>
          <m:sSubPr>
            <m:ctrlPr>
              <w:rPr>
                <w:rFonts w:ascii="Cambria Math" w:hAnsi="Cambria Math"/>
              </w:rPr>
            </m:ctrlPr>
          </m:sSubPr>
          <m:e>
            <m:r>
              <w:rPr>
                <w:rFonts w:ascii="Cambria Math" w:hAnsi="Cambria Math"/>
              </w:rPr>
              <m:t>τ</m:t>
            </m:r>
          </m:e>
          <m:sub>
            <m:r>
              <w:rPr>
                <w:rFonts w:ascii="Cambria Math" w:hAnsi="Cambria Math"/>
              </w:rPr>
              <m:t>rjt</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rt</m:t>
            </m:r>
          </m:sub>
        </m:sSub>
        <m:r>
          <w:rPr>
            <w:rFonts w:ascii="Cambria Math" w:hAnsi="Cambria Math"/>
          </w:rPr>
          <m:t>⋅ta</m:t>
        </m:r>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rjt</m:t>
            </m:r>
          </m:sub>
        </m:sSub>
      </m:oMath>
      <w:r w:rsidRPr="00BC5933">
        <w:rPr>
          <w:lang w:val="en-US"/>
        </w:rPr>
        <w:t>.</w:t>
      </w:r>
    </w:p>
    <w:p w14:paraId="1B976533" w14:textId="79B7B399" w:rsidR="00693CC3" w:rsidRPr="00BC5933" w:rsidRDefault="76371F3F" w:rsidP="00BC5933">
      <w:pPr>
        <w:jc w:val="both"/>
        <w:rPr>
          <w:lang w:val="en-US"/>
        </w:rPr>
      </w:pPr>
      <w:r w:rsidRPr="00BC5933">
        <w:rPr>
          <w:lang w:val="en-US"/>
        </w:rPr>
        <w:t xml:space="preserve">In the case of equal per capital recycling, we set </w:t>
      </w:r>
      <m:oMath>
        <m:sSub>
          <m:sSubPr>
            <m:ctrlPr>
              <w:rPr>
                <w:rFonts w:ascii="Cambria Math" w:hAnsi="Cambria Math"/>
              </w:rPr>
            </m:ctrlPr>
          </m:sSubPr>
          <m:e>
            <m:r>
              <w:rPr>
                <w:rFonts w:ascii="Cambria Math" w:hAnsi="Cambria Math"/>
              </w:rPr>
              <m:t>δ</m:t>
            </m:r>
          </m:e>
          <m:sub>
            <m:r>
              <w:rPr>
                <w:rFonts w:ascii="Cambria Math" w:hAnsi="Cambria Math"/>
              </w:rPr>
              <m:t>rjt</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q</m:t>
                </m:r>
              </m:sub>
            </m:sSub>
          </m:den>
        </m:f>
      </m:oMath>
      <w:r w:rsidRPr="00BC5933">
        <w:rPr>
          <w:lang w:val="en-US"/>
        </w:rPr>
        <w:t>.</w:t>
      </w:r>
    </w:p>
    <w:p w14:paraId="3B50029C" w14:textId="77777777" w:rsidR="00693CC3" w:rsidRPr="00BC5933" w:rsidRDefault="00693CC3" w:rsidP="00BC5933">
      <w:pPr>
        <w:jc w:val="both"/>
        <w:rPr>
          <w:lang w:val="en-US"/>
        </w:rPr>
      </w:pPr>
    </w:p>
    <w:p w14:paraId="5C49E5E1" w14:textId="6DE0A9B6" w:rsidR="663E471F" w:rsidRPr="00BC5933" w:rsidRDefault="663E471F" w:rsidP="00BC5933">
      <w:pPr>
        <w:jc w:val="both"/>
        <w:rPr>
          <w:lang w:val="en-US"/>
        </w:rPr>
      </w:pPr>
      <w:r w:rsidRPr="00BC5933">
        <w:rPr>
          <w:b/>
          <w:bCs/>
          <w:lang w:val="en-US"/>
        </w:rPr>
        <w:t>NICE</w:t>
      </w:r>
      <w:r w:rsidRPr="00BC5933">
        <w:rPr>
          <w:lang w:val="en-US"/>
        </w:rPr>
        <w:t xml:space="preserve">: We use the same calibration steps as described in the case of Imaclim (above) to obtain baseline consumption deciles over time in the NICE model. The regional consumption deciles obtained from the calibration are then fed into the model. Again, as in (Budolfson et al., 2021), mitigation costs and carbon tax burdens are distributed across deciles using consumption elasticities. The initial burden of a carbon tax is the distribution of mitigation costs and carbon tax payments before tax revenues are recycled and redistributed. The modelling steps are described in the methods section of (Budolfson et al., 2021). We assume that, within a region, the mitigation costs and the tax payments are distributed according to the same weights across deciles. Using the same notations as above, we write total consumption of decile j in region </w:t>
      </w:r>
      <m:oMath>
        <m:r>
          <w:rPr>
            <w:rFonts w:ascii="Cambria Math" w:hAnsi="Cambria Math"/>
            <w:lang w:val="en-US"/>
          </w:rPr>
          <m:t>r</m:t>
        </m:r>
      </m:oMath>
      <w:r w:rsidRPr="00BC5933">
        <w:rPr>
          <w:lang w:val="en-US"/>
        </w:rPr>
        <w:t xml:space="preserve"> at date </w:t>
      </w:r>
      <m:oMath>
        <m:r>
          <w:rPr>
            <w:rFonts w:ascii="Cambria Math" w:hAnsi="Cambria Math"/>
            <w:lang w:val="en-US"/>
          </w:rPr>
          <m:t>t</m:t>
        </m:r>
      </m:oMath>
      <w:r w:rsidRPr="00BC5933">
        <w:rPr>
          <w:lang w:val="en-US"/>
        </w:rPr>
        <w:t xml:space="preserve"> as </w:t>
      </w:r>
      <m:oMath>
        <m:sSub>
          <m:sSubPr>
            <m:ctrlPr>
              <w:rPr>
                <w:rFonts w:ascii="Cambria Math" w:hAnsi="Cambria Math"/>
              </w:rPr>
            </m:ctrlPr>
          </m:sSubPr>
          <m:e>
            <m:r>
              <w:rPr>
                <w:rFonts w:ascii="Cambria Math" w:hAnsi="Cambria Math"/>
              </w:rPr>
              <m:t>C</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net</m:t>
            </m:r>
          </m:sup>
        </m:sSubSup>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rt</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rjt</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gross</m:t>
            </m:r>
          </m:sup>
        </m:sSubSup>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rt</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rjt</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rt</m:t>
            </m:r>
          </m:sub>
        </m:sSub>
        <m:r>
          <w:rPr>
            <w:rFonts w:ascii="Cambria Math" w:hAnsi="Cambria Math"/>
          </w:rPr>
          <m:t>⋅ta</m:t>
        </m:r>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rjt</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rt</m:t>
            </m:r>
          </m:sub>
        </m:sSub>
        <m:r>
          <w:rPr>
            <w:rFonts w:ascii="Cambria Math" w:hAnsi="Cambria Math"/>
          </w:rPr>
          <m:t>⋅ta</m:t>
        </m:r>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rjt</m:t>
            </m:r>
          </m:sub>
        </m:sSub>
      </m:oMath>
      <w:r w:rsidRPr="00BC5933">
        <w:rPr>
          <w:lang w:val="en-US"/>
        </w:rPr>
        <w:t xml:space="preserve">. </w:t>
      </w:r>
      <m:oMath>
        <m:sSubSup>
          <m:sSubSupPr>
            <m:ctrlPr>
              <w:rPr>
                <w:rFonts w:ascii="Cambria Math" w:hAnsi="Cambria Math"/>
              </w:rPr>
            </m:ctrlPr>
          </m:sSubSupPr>
          <m:e>
            <m:r>
              <w:rPr>
                <w:rFonts w:ascii="Cambria Math" w:hAnsi="Cambria Math"/>
              </w:rPr>
              <m:t>C</m:t>
            </m:r>
          </m:e>
          <m:sub>
            <m:r>
              <w:rPr>
                <w:rFonts w:ascii="Cambria Math" w:hAnsi="Cambria Math"/>
              </w:rPr>
              <m:t>rt</m:t>
            </m:r>
          </m:sub>
          <m:sup>
            <m:r>
              <w:rPr>
                <w:rFonts w:ascii="Cambria Math" w:hAnsi="Cambria Math"/>
              </w:rPr>
              <m:t>net</m:t>
            </m:r>
          </m:sup>
        </m:sSubSup>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rt</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rjt</m:t>
            </m:r>
          </m:sub>
        </m:sSub>
      </m:oMath>
      <w:r w:rsidRPr="00BC5933">
        <w:rPr>
          <w:lang w:val="en-US"/>
        </w:rPr>
        <w:t xml:space="preserve"> is the damage cost of decile j of region r at date t. Carbon tax revenues are either refunded within each region according to the distribution of the initial burden (</w:t>
      </w:r>
      <m:oMath>
        <m:sSub>
          <m:sSubPr>
            <m:ctrlPr>
              <w:rPr>
                <w:rFonts w:ascii="Cambria Math" w:hAnsi="Cambria Math"/>
              </w:rPr>
            </m:ctrlPr>
          </m:sSubPr>
          <m:e>
            <m:r>
              <w:rPr>
                <w:rFonts w:ascii="Cambria Math" w:hAnsi="Cambria Math"/>
              </w:rPr>
              <m:t>δ</m:t>
            </m:r>
          </m:e>
          <m:sub>
            <m:r>
              <w:rPr>
                <w:rFonts w:ascii="Cambria Math" w:hAnsi="Cambria Math"/>
              </w:rPr>
              <m:t>rjt</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rjt</m:t>
            </m:r>
          </m:sub>
        </m:sSub>
      </m:oMath>
      <w:r w:rsidR="00376FBA" w:rsidRPr="00BC5933">
        <w:rPr>
          <w:lang w:val="en-US"/>
        </w:rPr>
        <w:t>) or</w:t>
      </w:r>
      <w:r w:rsidRPr="00BC5933">
        <w:rPr>
          <w:lang w:val="en-US"/>
        </w:rPr>
        <w:t xml:space="preserve"> are distributed equally per capita within each region (</w:t>
      </w:r>
      <m:oMath>
        <m:sSub>
          <m:sSubPr>
            <m:ctrlPr>
              <w:rPr>
                <w:rFonts w:ascii="Cambria Math" w:hAnsi="Cambria Math"/>
              </w:rPr>
            </m:ctrlPr>
          </m:sSubPr>
          <m:e>
            <m:r>
              <w:rPr>
                <w:rFonts w:ascii="Cambria Math" w:hAnsi="Cambria Math"/>
              </w:rPr>
              <m:t>δ</m:t>
            </m:r>
          </m:e>
          <m:sub>
            <m:r>
              <w:rPr>
                <w:rFonts w:ascii="Cambria Math" w:hAnsi="Cambria Math"/>
              </w:rPr>
              <m:t>rjt</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q</m:t>
                </m:r>
              </m:sub>
            </m:sSub>
          </m:den>
        </m:f>
      </m:oMath>
      <w:r w:rsidR="5400EC36" w:rsidRPr="00BC5933">
        <w:rPr>
          <w:lang w:val="en-US"/>
        </w:rPr>
        <w:t>).</w:t>
      </w:r>
    </w:p>
    <w:p w14:paraId="372576B1" w14:textId="782646C5" w:rsidR="0033078D" w:rsidRPr="00BC5933" w:rsidRDefault="0033078D" w:rsidP="00BC5933">
      <w:pPr>
        <w:jc w:val="both"/>
        <w:rPr>
          <w:lang w:val="en-US"/>
        </w:rPr>
      </w:pPr>
    </w:p>
    <w:p w14:paraId="6C098AA8" w14:textId="48846874" w:rsidR="00E448B1" w:rsidRPr="00BC5933" w:rsidRDefault="30A3E0DB" w:rsidP="002A1DB6">
      <w:pPr>
        <w:jc w:val="both"/>
      </w:pPr>
      <w:r w:rsidRPr="00BC5933">
        <w:rPr>
          <w:b/>
          <w:bCs/>
        </w:rPr>
        <w:t>ReMIND</w:t>
      </w:r>
      <w:r w:rsidRPr="00BC5933">
        <w:t>: R</w:t>
      </w:r>
      <w:r w:rsidR="00D2186E" w:rsidRPr="00BC5933">
        <w:t>e</w:t>
      </w:r>
      <w:r w:rsidRPr="00BC5933">
        <w:t xml:space="preserve">MIND implements the consumption distribution using a log-normal assumption. The distribution in each region is calibrated so that average consumption matches a baseline SSP2 consumption path and future inequality matches the Gini projections by Rao et al. (2019). The effects of climate policy, redistribution and climate impacts on the consumption distribution is then </w:t>
      </w:r>
      <w:r w:rsidRPr="00BC5933">
        <w:lastRenderedPageBreak/>
        <w:t xml:space="preserve">calculated via changes in energy expenditure compared to the baseline, carbon tax revenue redistribution and the effects of climate damages. The resulting new average consumption is distributed keeping with the log-normal assumption. The elasticity of energy expenditures is estimated through an empirical approach, described in Soergel et al. (2021). The elasticity of damages is assumed to be 0.5. </w:t>
      </w:r>
    </w:p>
    <w:p w14:paraId="20AA58D9" w14:textId="301B5723" w:rsidR="29E5226C" w:rsidRPr="00BC5933" w:rsidRDefault="29E5226C" w:rsidP="002A1DB6">
      <w:pPr>
        <w:jc w:val="both"/>
      </w:pPr>
    </w:p>
    <w:p w14:paraId="69FA1AB1" w14:textId="25D55FCF" w:rsidR="0085158D" w:rsidRPr="00BC5933" w:rsidRDefault="0085158D" w:rsidP="00BC5933">
      <w:pPr>
        <w:jc w:val="both"/>
      </w:pPr>
      <w:r w:rsidRPr="00BC5933">
        <w:rPr>
          <w:b/>
          <w:bCs/>
        </w:rPr>
        <w:t>RICE50+:</w:t>
      </w:r>
      <w:r w:rsidRPr="00BC5933">
        <w:t xml:space="preserve"> </w:t>
      </w:r>
      <w:r w:rsidR="00670409" w:rsidRPr="00BC5933">
        <w:t xml:space="preserve">We implemented </w:t>
      </w:r>
      <w:r w:rsidR="00107D62" w:rsidRPr="00BC5933">
        <w:t>income deciles based on a baseline specification</w:t>
      </w:r>
      <w:r w:rsidR="00607612" w:rsidRPr="00BC5933">
        <w:t xml:space="preserve"> based on </w:t>
      </w:r>
      <w:r w:rsidR="00607612" w:rsidRPr="00BC5933">
        <w:fldChar w:fldCharType="begin"/>
      </w:r>
      <w:r w:rsidR="00607612" w:rsidRPr="00BC5933">
        <w:instrText xml:space="preserve"> ADDIN ZOTERO_ITEM CSL_CITATION {"citationID":"DFkqd42E","properties":{"formattedCitation":"(Rao {\\i{}et al.}, 2019)","plainCitation":"(Rao et al., 2019)","noteIndex":0},"citationItems":[{"id":18594,"uris":["http://zotero.org/users/24125/items/G295JTAN"],"itemData":{"id":18594,"type":"article-journal","abstract":"This paper presents global scenarios of future national Gini coefficients, based on an econometric model of the evolution of income inequality within countries over the last three decades. These projections are defined within the scenario framework of the Shared Socioeconomic Pathways (SSP) in climate research, in which income inequality is a qualitative dimension, but not quantified. The projections are driven primarily by total factor productivity (TFP), education attainment at different levels of education, and social public spending. We combine projections of TFP and education from the SSPs and scenarios of public spending with the historical model results to generate Ginis by SSP with uncertainty. The resulting Gini trends across SSPs are distinct and broadly consistent with the SSP narratives. Divergence in Ginis across the SSPs is strongest in emerging economies, and weakest in industrialized countries. The insights from this analysis can enrich the SSP narratives along new dimensions, such as capital and labor income shares and trade.","container-title":"Futures","DOI":"10.1016/j.futures.2018.07.001","ISSN":"0016-3287","journalAbbreviation":"Futures","language":"en","page":"27-39","source":"ScienceDirect","title":"Income inequality projections for the Shared Socioeconomic Pathways (SSPs)","volume":"105","author":[{"family":"Rao","given":"Narasimha D."},{"family":"Sauer","given":"Petra"},{"family":"Gidden","given":"Matthew"},{"family":"Riahi","given":"Keywan"}],"issued":{"date-parts":[["2019",1,1]]}}}],"schema":"https://github.com/citation-style-language/schema/raw/master/csl-citation.json"} </w:instrText>
      </w:r>
      <w:r w:rsidR="00607612" w:rsidRPr="00BC5933">
        <w:fldChar w:fldCharType="separate"/>
      </w:r>
      <w:r w:rsidR="00607612" w:rsidRPr="00BC5933">
        <w:t xml:space="preserve">(Rao </w:t>
      </w:r>
      <w:r w:rsidR="00607612" w:rsidRPr="00BC5933">
        <w:rPr>
          <w:i/>
          <w:iCs/>
        </w:rPr>
        <w:t>et al.</w:t>
      </w:r>
      <w:r w:rsidR="00607612" w:rsidRPr="00BC5933">
        <w:t>, 2019)</w:t>
      </w:r>
      <w:r w:rsidR="00607612" w:rsidRPr="00BC5933">
        <w:fldChar w:fldCharType="end"/>
      </w:r>
      <w:r w:rsidR="00607612" w:rsidRPr="00BC5933">
        <w:t xml:space="preserve">, </w:t>
      </w:r>
      <w:r w:rsidR="009F610C" w:rsidRPr="00BC5933">
        <w:t xml:space="preserve">and climate policy costs and climate impacts are distributed from the macrolevel among household deciles based on income elasticities as described in </w:t>
      </w:r>
      <w:r w:rsidR="009F610C" w:rsidRPr="00BC5933">
        <w:fldChar w:fldCharType="begin"/>
      </w:r>
      <w:r w:rsidR="009F610C" w:rsidRPr="00BC5933">
        <w:instrText xml:space="preserve"> ADDIN ZOTERO_ITEM CSL_CITATION {"citationID":"48aQIGi0","properties":{"formattedCitation":"(Emmerling, Andreoni and Tavoni, 2023)","plainCitation":"(Emmerling, Andreoni and Tavoni, 2023)","noteIndex":0},"citationItems":[{"id":19540,"uris":["http://zotero.org/users/24125/items/9ZCZUISJ"],"itemData":{"id":19540,"type":"article-journal","container-title":"Cell Reports Sustainability","DOI":"10.1016/j.crsus.2023.100008","ISSN":"2949-7906","issue":"0","journalAbbreviation":"Cell Reports Sustainability","language":"English","license":"All rights reserved","note":"publisher: Elsevier","source":"www.cell.com","title":"Global inequality consequences of climate policies when accounting for avoided climate impacts","URL":"https://www.cell.com/cell-reports-sustainability/abstract/S2949-7906(23)00008-3","volume":"0","author":[{"family":"Emmerling","given":"Johannes"},{"family":"Andreoni","given":"Pietro"},{"family":"Tavoni","given":"Massimo"}],"accessed":{"date-parts":[["2023",12,1]]},"issued":{"date-parts":[["2023",11,29]]}}}],"schema":"https://github.com/citation-style-language/schema/raw/master/csl-citation.json"} </w:instrText>
      </w:r>
      <w:r w:rsidR="009F610C" w:rsidRPr="00BC5933">
        <w:fldChar w:fldCharType="separate"/>
      </w:r>
      <w:r w:rsidR="009F610C" w:rsidRPr="00BC5933">
        <w:t>(Emmerling, Andreoni and Tavoni, 2023)</w:t>
      </w:r>
      <w:r w:rsidR="009F610C" w:rsidRPr="00BC5933">
        <w:fldChar w:fldCharType="end"/>
      </w:r>
      <w:r w:rsidR="008E3534" w:rsidRPr="00BC5933">
        <w:t>: Policy costs</w:t>
      </w:r>
      <w:r w:rsidR="00B2763D" w:rsidRPr="00BC5933">
        <w:t>, computed using calibrated marginal abatement cost curves,</w:t>
      </w:r>
      <w:r w:rsidR="008E3534" w:rsidRPr="00BC5933">
        <w:t xml:space="preserve"> are</w:t>
      </w:r>
      <w:r w:rsidR="00C465FC" w:rsidRPr="00BC5933">
        <w:t xml:space="preserve"> distributed using an elasticity </w:t>
      </w:r>
      <w:r w:rsidR="00FE09B2" w:rsidRPr="00BC5933">
        <w:t xml:space="preserve">that varies with GDP </w:t>
      </w:r>
      <w:r w:rsidR="006E451D" w:rsidRPr="00BC5933">
        <w:t xml:space="preserve">per capita as estimated in </w:t>
      </w:r>
      <w:r w:rsidR="006E451D" w:rsidRPr="00BC5933">
        <w:fldChar w:fldCharType="begin"/>
      </w:r>
      <w:r w:rsidR="006E451D" w:rsidRPr="00BC5933">
        <w:instrText xml:space="preserve"> ADDIN ZOTERO_ITEM CSL_CITATION {"citationID":"OY91KNPc","properties":{"formattedCitation":"(Budolfson {\\i{}et al.}, 2021)","plainCitation":"(Budolfson et al., 2021)","noteIndex":0},"citationItems":[{"id":19133,"uris":["http://zotero.org/users/24125/items/TUQQGCM7"],"itemData":{"id":19133,"type":"article-journal","abstract":"Existing estimates of optimal climate policy ignore the possibility that carbon tax revenues could be used in a progressive way; model results therefore typically imply that near-term climate action comes at some cost to the poor. Using the Nested Inequalities Climate Economy (NICE) model, we show that an equal per capita refund of carbon tax revenues implies that achieving a 2 °C target can pay large and immediate dividends for improving well-being, reducing inequality and alleviating poverty. In an optimal policy calculation that weighs the benefits against the costs of mitigation, the recommended policy is characterized by aggressive near-term climate action followed by a slower climb towards full decarbonization; this pattern—which is driven by a carbon revenue Laffer curve—prevents runaway warming while also preserving tax revenues for redistribution. Accounting for these dynamics corrects a long-standing bias against strong immediate climate action in the optimal policy literature.","container-title":"Nature Climate Change","DOI":"10.1038/s41558-021-01217-0","ISSN":"1758-6798","journalAbbreviation":"Nat. Clim. Chang.","language":"en","page":"1-6","source":"www.nature.com","title":"Climate action with revenue recycling has benefits for poverty, inequality and well-being","author":[{"family":"Budolfson","given":"Mark"},{"family":"Dennig","given":"Francis"},{"family":"Errickson","given":"Frank"},{"family":"Feindt","given":"Simon"},{"family":"Ferranna","given":"Maddalena"},{"family":"Fleurbaey","given":"Marc"},{"family":"Klenert","given":"David"},{"family":"Kornek","given":"Ulrike"},{"family":"Kuruc","given":"Kevin"},{"family":"Méjean","given":"Aurélie"},{"family":"Peng","given":"Wei"},{"family":"Scovronick","given":"Noah"},{"family":"Spears","given":"Dean"},{"family":"Wagner","given":"Fabian"},{"family":"Zuber","given":"Stéphane"}],"issued":{"date-parts":[["2021",11,29]]}}}],"schema":"https://github.com/citation-style-language/schema/raw/master/csl-citation.json"} </w:instrText>
      </w:r>
      <w:r w:rsidR="006E451D" w:rsidRPr="00BC5933">
        <w:fldChar w:fldCharType="separate"/>
      </w:r>
      <w:r w:rsidR="006E451D" w:rsidRPr="00BC5933">
        <w:t xml:space="preserve">(Budolfson </w:t>
      </w:r>
      <w:r w:rsidR="006E451D" w:rsidRPr="00BC5933">
        <w:rPr>
          <w:i/>
          <w:iCs/>
        </w:rPr>
        <w:t>et al.</w:t>
      </w:r>
      <w:r w:rsidR="006E451D" w:rsidRPr="00BC5933">
        <w:t>, 2021)</w:t>
      </w:r>
      <w:r w:rsidR="006E451D" w:rsidRPr="00BC5933">
        <w:fldChar w:fldCharType="end"/>
      </w:r>
      <w:r w:rsidR="00C465FC" w:rsidRPr="00BC5933">
        <w:t>, while impacts</w:t>
      </w:r>
      <w:r w:rsidR="00A55223" w:rsidRPr="00BC5933">
        <w:t xml:space="preserve">, that are computed used the damage function of </w:t>
      </w:r>
      <w:r w:rsidR="00A55223" w:rsidRPr="00BC5933">
        <w:fldChar w:fldCharType="begin"/>
      </w:r>
      <w:r w:rsidR="00A55223" w:rsidRPr="00BC5933">
        <w:instrText xml:space="preserve"> ADDIN ZOTERO_ITEM CSL_CITATION {"citationID":"c010Ce6u","properties":{"formattedCitation":"(Kalkuhl and Wenz, 2020)","plainCitation":"(Kalkuhl and Wenz, 2020)","noteIndex":0},"citationItems":[{"id":18449,"uris":["http://zotero.org/users/24125/items/CXPAJYMG"],"itemData":{"id":18449,"type":"article-journal","abstract":"We present a novel data set of subnational economic output, Gross Regional Product (GRP), for more than 1500 regions in 77 countries that allows us to empirically estimate historic climate impacts at different time scales. Employing annual panel models, long-difference regressions and cross-sectional regressions, we identify effects on productivity levels and productivity growth. We do not find evidence for permanent growth rate impacts but we find robust evidence that temperature affects productivity levels considerably. An increase in global mean surface temperature by about 3.5°C until the end of the century would reduce global output by 7–14% in 2100, with even higher damages in tropical and poor regions. Updating the DICE damage function with our estimates suggests that the social cost of carbon from temperature-induced productivity losses is on the order of 73–142$/tCO2 in 2020, rising to 92–181$/tCO2 in 2030. These numbers exclude non-market damages and damages from extreme weather events or sea-level rise.","container-title":"Journal of Environmental Economics and Management","DOI":"10.1016/j.jeem.2020.102360","ISSN":"0095-0696","journalAbbreviation":"Journal of Environmental Economics and Management","language":"en","page":"102360","source":"ScienceDirect","title":"The impact of climate conditions on economic production. Evidence from a global panel of regions","volume":"103","author":[{"family":"Kalkuhl","given":"Matthias"},{"family":"Wenz","given":"Leonie"}],"issued":{"date-parts":[["2020",9,1]]}}}],"schema":"https://github.com/citation-style-language/schema/raw/master/csl-citation.json"} </w:instrText>
      </w:r>
      <w:r w:rsidR="00A55223" w:rsidRPr="00BC5933">
        <w:fldChar w:fldCharType="separate"/>
      </w:r>
      <w:r w:rsidR="00A55223" w:rsidRPr="00BC5933">
        <w:t>(Kalkuhl and Wenz, 2020)</w:t>
      </w:r>
      <w:r w:rsidR="00A55223" w:rsidRPr="00BC5933">
        <w:fldChar w:fldCharType="end"/>
      </w:r>
      <w:r w:rsidR="00FE09B2" w:rsidRPr="00BC5933">
        <w:t xml:space="preserve"> </w:t>
      </w:r>
      <w:r w:rsidR="00BC210B" w:rsidRPr="00BC5933">
        <w:t>are distributed using an elasticity</w:t>
      </w:r>
      <w:r w:rsidR="00FE09B2" w:rsidRPr="00BC5933">
        <w:t xml:space="preserve"> of 0.5.</w:t>
      </w:r>
    </w:p>
    <w:p w14:paraId="2E3C201A" w14:textId="77777777" w:rsidR="0085158D" w:rsidRPr="00BC5933" w:rsidRDefault="0085158D" w:rsidP="00BC5933">
      <w:pPr>
        <w:jc w:val="both"/>
      </w:pPr>
    </w:p>
    <w:p w14:paraId="21C78FA8" w14:textId="62D6603A" w:rsidR="0062688F" w:rsidRPr="00BC5933" w:rsidRDefault="006C6057" w:rsidP="00BC5933">
      <w:pPr>
        <w:spacing w:after="120"/>
        <w:jc w:val="both"/>
      </w:pPr>
      <w:r w:rsidRPr="00BC5933">
        <w:rPr>
          <w:b/>
          <w:bCs/>
        </w:rPr>
        <w:t>WITCH:</w:t>
      </w:r>
      <w:r w:rsidR="00B2763D" w:rsidRPr="00BC5933">
        <w:rPr>
          <w:b/>
          <w:bCs/>
        </w:rPr>
        <w:t xml:space="preserve"> </w:t>
      </w:r>
      <w:r w:rsidR="0047033A" w:rsidRPr="00BC5933">
        <w:t>The WITCH model implemented the climate polic</w:t>
      </w:r>
      <w:r w:rsidR="00BE4C69" w:rsidRPr="00BC5933">
        <w:t xml:space="preserve">ies based on its bottom-up energy system model including land-use coupling with GLOBIOM. </w:t>
      </w:r>
      <w:r w:rsidR="00E678D5" w:rsidRPr="00BC5933">
        <w:t xml:space="preserve">The model results are then in terms of energy expenditures, </w:t>
      </w:r>
      <w:r w:rsidR="00051A05" w:rsidRPr="00BC5933">
        <w:t xml:space="preserve">energy </w:t>
      </w:r>
      <w:r w:rsidR="00E678D5" w:rsidRPr="00BC5933">
        <w:t xml:space="preserve">prices, </w:t>
      </w:r>
      <w:r w:rsidR="00051A05" w:rsidRPr="00BC5933">
        <w:t xml:space="preserve">and </w:t>
      </w:r>
      <w:r w:rsidR="00E678D5" w:rsidRPr="00BC5933">
        <w:t>GDP</w:t>
      </w:r>
      <w:r w:rsidR="00051A05" w:rsidRPr="00BC5933">
        <w:t xml:space="preserve"> fed into a soft-coupled “inequality module” </w:t>
      </w:r>
      <w:r w:rsidR="00613064" w:rsidRPr="00BC5933">
        <w:t>used also</w:t>
      </w:r>
      <w:r w:rsidR="00051A05" w:rsidRPr="00BC5933">
        <w:t xml:space="preserve"> in </w:t>
      </w:r>
      <w:r w:rsidR="00051A05" w:rsidRPr="00BC5933">
        <w:fldChar w:fldCharType="begin"/>
      </w:r>
      <w:r w:rsidR="00051A05" w:rsidRPr="00BC5933">
        <w:instrText xml:space="preserve"> ADDIN ZOTERO_ITEM CSL_CITATION {"citationID":"lpByQ43Y","properties":{"formattedCitation":"(Emmerling and Malerba, 2022)","plainCitation":"(Emmerling and Malerba, 2022)","noteIndex":0},"citationItems":[{"id":19341,"uris":["http://zotero.org/users/24125/items/DCGF9ID3"],"itemData":{"id":19341,"type":"chapter","container-title":"Governing the Interlinkages between the SDGs - Approaches, Opportunities and Challenges","event-place":"London","publisher":"Routledge","publisher-place":"London","title":"Modelling the interaction between climate mitigation and income inequality: the use of Integrated Assessment Models and the case of India","URL":"https://www.routledge.com/Governing-the-Interlinkages-between-the-SDGs-Approaches-Opportunities/Breuer-Malerba-Srigiri-Balasubramanian/p/book/9781032184692","author":[{"family":"Emmerling","given":"Johannes"},{"family":"Malerba","given":"Daniele"}],"editor":[{"literal":"Anita Breuer"},{"family":"Malerba","given":"Daniele"},{"family":"Srigiri","given":"Srinivasa"},{"family":"Balasubramanian","given":"Pooja"}],"issued":{"date-parts":[["2022",12,23]]}}}],"schema":"https://github.com/citation-style-language/schema/raw/master/csl-citation.json"} </w:instrText>
      </w:r>
      <w:r w:rsidR="00051A05" w:rsidRPr="00BC5933">
        <w:fldChar w:fldCharType="separate"/>
      </w:r>
      <w:r w:rsidR="00051A05" w:rsidRPr="00BC5933">
        <w:t>(Emmerling and Malerba, 2022)</w:t>
      </w:r>
      <w:r w:rsidR="00051A05" w:rsidRPr="00BC5933">
        <w:fldChar w:fldCharType="end"/>
      </w:r>
      <w:r w:rsidR="00330A24" w:rsidRPr="00BC5933">
        <w:t>, where a dynamic household optimization problem is solved using the inequality dataset described in part A</w:t>
      </w:r>
      <w:r w:rsidR="002C57C8" w:rsidRPr="00BC5933">
        <w:t xml:space="preserve"> </w:t>
      </w:r>
      <w:r w:rsidR="00B04505" w:rsidRPr="00BC5933">
        <w:t xml:space="preserve">and taking into account energy expenditures, wealth inequality, </w:t>
      </w:r>
      <w:r w:rsidR="00FE73C7" w:rsidRPr="00BC5933">
        <w:t xml:space="preserve">heterogeneous wages, returns on capital, and savings, resulting in an endogenous </w:t>
      </w:r>
      <w:r w:rsidR="00613064" w:rsidRPr="00BC5933">
        <w:t>distribution of income and consumption consistent with the macroeconomic results from WITCH.</w:t>
      </w:r>
      <w:r w:rsidR="00FE73C7" w:rsidRPr="00BC5933">
        <w:t xml:space="preserve"> </w:t>
      </w:r>
    </w:p>
    <w:p w14:paraId="045A3EF7" w14:textId="77777777" w:rsidR="003E5450" w:rsidRPr="00107242" w:rsidRDefault="003E5450" w:rsidP="00126E3E">
      <w:pPr>
        <w:spacing w:after="120"/>
      </w:pPr>
    </w:p>
    <w:p w14:paraId="48C27FE5" w14:textId="68B1584B" w:rsidR="00024ECB" w:rsidRDefault="774F0B01" w:rsidP="00126E3E">
      <w:pPr>
        <w:pStyle w:val="Heading1"/>
        <w:spacing w:before="0" w:after="120"/>
        <w:rPr>
          <w:rFonts w:ascii="Times New Roman" w:hAnsi="Times New Roman" w:cs="Times New Roman"/>
        </w:rPr>
      </w:pPr>
      <w:r w:rsidRPr="00107242">
        <w:rPr>
          <w:rFonts w:ascii="Times New Roman" w:hAnsi="Times New Roman" w:cs="Times New Roman"/>
        </w:rPr>
        <w:t>B: Additional results and figures</w:t>
      </w:r>
    </w:p>
    <w:p w14:paraId="35A9BF92" w14:textId="77777777" w:rsidR="00723E36" w:rsidRDefault="00723E36" w:rsidP="00723E36">
      <w:pPr>
        <w:keepNext/>
        <w:jc w:val="center"/>
      </w:pPr>
      <w:r>
        <w:rPr>
          <w:noProof/>
        </w:rPr>
        <w:drawing>
          <wp:inline distT="0" distB="0" distL="0" distR="0" wp14:anchorId="333028F2" wp14:editId="096C9768">
            <wp:extent cx="4484653" cy="3362325"/>
            <wp:effectExtent l="0" t="0" r="0" b="0"/>
            <wp:docPr id="1326695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8562" cy="3365256"/>
                    </a:xfrm>
                    <a:prstGeom prst="rect">
                      <a:avLst/>
                    </a:prstGeom>
                    <a:noFill/>
                    <a:ln>
                      <a:noFill/>
                    </a:ln>
                  </pic:spPr>
                </pic:pic>
              </a:graphicData>
            </a:graphic>
          </wp:inline>
        </w:drawing>
      </w:r>
    </w:p>
    <w:p w14:paraId="2F7C50FC" w14:textId="2B756664" w:rsidR="00723E36" w:rsidRDefault="00723E36" w:rsidP="00723E36">
      <w:pPr>
        <w:rPr>
          <w:sz w:val="20"/>
          <w:szCs w:val="20"/>
        </w:rPr>
      </w:pPr>
      <w:bookmarkStart w:id="0" w:name="_Ref156304053"/>
      <w:r w:rsidRPr="00723E36">
        <w:rPr>
          <w:sz w:val="20"/>
          <w:szCs w:val="20"/>
        </w:rPr>
        <w:t xml:space="preserve">Figure </w:t>
      </w:r>
      <w:r w:rsidRPr="00723E36">
        <w:rPr>
          <w:sz w:val="20"/>
          <w:szCs w:val="20"/>
        </w:rPr>
        <w:fldChar w:fldCharType="begin"/>
      </w:r>
      <w:r w:rsidRPr="00723E36">
        <w:rPr>
          <w:sz w:val="20"/>
          <w:szCs w:val="20"/>
        </w:rPr>
        <w:instrText xml:space="preserve"> SEQ Figure \* ARABIC </w:instrText>
      </w:r>
      <w:r w:rsidRPr="00723E36">
        <w:rPr>
          <w:sz w:val="20"/>
          <w:szCs w:val="20"/>
        </w:rPr>
        <w:fldChar w:fldCharType="separate"/>
      </w:r>
      <w:r w:rsidR="00F763F8">
        <w:rPr>
          <w:noProof/>
          <w:sz w:val="20"/>
          <w:szCs w:val="20"/>
        </w:rPr>
        <w:t>5</w:t>
      </w:r>
      <w:r w:rsidRPr="00723E36">
        <w:rPr>
          <w:sz w:val="20"/>
          <w:szCs w:val="20"/>
        </w:rPr>
        <w:fldChar w:fldCharType="end"/>
      </w:r>
      <w:bookmarkEnd w:id="0"/>
      <w:r w:rsidRPr="00723E36">
        <w:rPr>
          <w:sz w:val="20"/>
          <w:szCs w:val="20"/>
        </w:rPr>
        <w:t>: The Gini index of income inequality in the countries of this study. Dashed lines show the historical values based on th</w:t>
      </w:r>
      <w:r>
        <w:rPr>
          <w:sz w:val="20"/>
          <w:szCs w:val="20"/>
        </w:rPr>
        <w:t>e</w:t>
      </w:r>
      <w:r w:rsidRPr="00723E36">
        <w:rPr>
          <w:sz w:val="20"/>
          <w:szCs w:val="20"/>
        </w:rPr>
        <w:t xml:space="preserve"> Standar</w:t>
      </w:r>
      <w:r>
        <w:rPr>
          <w:sz w:val="20"/>
          <w:szCs w:val="20"/>
        </w:rPr>
        <w:t>dized</w:t>
      </w:r>
      <w:r w:rsidRPr="00723E36">
        <w:rPr>
          <w:sz w:val="20"/>
          <w:szCs w:val="20"/>
        </w:rPr>
        <w:t xml:space="preserve"> Income Inequality Database (SWIID) and the solid lines the baseline SSP2 projections from Rao et al. (2019).</w:t>
      </w:r>
    </w:p>
    <w:p w14:paraId="44FE0BBB" w14:textId="77777777" w:rsidR="00723E36" w:rsidRPr="00723E36" w:rsidRDefault="00723E36" w:rsidP="00723E36">
      <w:pPr>
        <w:rPr>
          <w:sz w:val="20"/>
          <w:szCs w:val="20"/>
        </w:rPr>
      </w:pPr>
    </w:p>
    <w:p w14:paraId="15D25AF1" w14:textId="77777777" w:rsidR="00C7127D" w:rsidRPr="00107242" w:rsidRDefault="00C7127D" w:rsidP="00C7127D">
      <w:pPr>
        <w:keepNext/>
        <w:spacing w:after="120"/>
        <w:jc w:val="center"/>
      </w:pPr>
      <w:r w:rsidRPr="00107242">
        <w:rPr>
          <w:noProof/>
        </w:rPr>
        <w:lastRenderedPageBreak/>
        <w:drawing>
          <wp:inline distT="0" distB="0" distL="0" distR="0" wp14:anchorId="51FF9778" wp14:editId="02CCA6E6">
            <wp:extent cx="5760720" cy="3840480"/>
            <wp:effectExtent l="0" t="0" r="0" b="7620"/>
            <wp:docPr id="1151942838" name="Picture 115194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42838" name="Picture 11519428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1370" cy="3840913"/>
                    </a:xfrm>
                    <a:prstGeom prst="rect">
                      <a:avLst/>
                    </a:prstGeom>
                  </pic:spPr>
                </pic:pic>
              </a:graphicData>
            </a:graphic>
          </wp:inline>
        </w:drawing>
      </w:r>
    </w:p>
    <w:p w14:paraId="41F79443" w14:textId="0449B456" w:rsidR="00C7127D" w:rsidRPr="00997446" w:rsidRDefault="00C7127D" w:rsidP="00C7127D">
      <w:pPr>
        <w:rPr>
          <w:sz w:val="20"/>
          <w:szCs w:val="20"/>
        </w:rPr>
      </w:pPr>
      <w:bookmarkStart w:id="1" w:name="_Ref153897816"/>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6</w:t>
      </w:r>
      <w:r w:rsidRPr="00997446">
        <w:rPr>
          <w:sz w:val="20"/>
          <w:szCs w:val="20"/>
        </w:rPr>
        <w:fldChar w:fldCharType="end"/>
      </w:r>
      <w:bookmarkEnd w:id="1"/>
      <w:r w:rsidRPr="00997446">
        <w:rPr>
          <w:sz w:val="20"/>
          <w:szCs w:val="20"/>
        </w:rPr>
        <w:t xml:space="preserve">: </w:t>
      </w:r>
      <w:r>
        <w:rPr>
          <w:sz w:val="20"/>
          <w:szCs w:val="20"/>
        </w:rPr>
        <w:t>Models and region</w:t>
      </w:r>
      <w:r w:rsidR="007B5F13">
        <w:rPr>
          <w:sz w:val="20"/>
          <w:szCs w:val="20"/>
        </w:rPr>
        <w:t xml:space="preserve">al coverage of the data used in this </w:t>
      </w:r>
      <w:r w:rsidR="006718E7">
        <w:rPr>
          <w:sz w:val="20"/>
          <w:szCs w:val="20"/>
        </w:rPr>
        <w:t>analysis</w:t>
      </w:r>
    </w:p>
    <w:p w14:paraId="7312E64B" w14:textId="77777777" w:rsidR="006B7A02" w:rsidRPr="00107242" w:rsidRDefault="006B7A02" w:rsidP="00126E3E">
      <w:pPr>
        <w:keepNext/>
        <w:spacing w:after="120"/>
        <w:jc w:val="center"/>
      </w:pPr>
    </w:p>
    <w:p w14:paraId="13AFF921" w14:textId="5FF1CB5D" w:rsidR="006E0F6A" w:rsidRPr="00107242" w:rsidRDefault="00AB372F" w:rsidP="00126E3E">
      <w:pPr>
        <w:keepNext/>
        <w:spacing w:after="120"/>
        <w:jc w:val="center"/>
      </w:pPr>
      <w:r>
        <w:rPr>
          <w:noProof/>
        </w:rPr>
        <w:drawing>
          <wp:inline distT="0" distB="0" distL="0" distR="0" wp14:anchorId="09903128" wp14:editId="43828F9F">
            <wp:extent cx="5349240" cy="356616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50014" cy="3566676"/>
                    </a:xfrm>
                    <a:prstGeom prst="rect">
                      <a:avLst/>
                    </a:prstGeom>
                  </pic:spPr>
                </pic:pic>
              </a:graphicData>
            </a:graphic>
          </wp:inline>
        </w:drawing>
      </w:r>
    </w:p>
    <w:p w14:paraId="2D916CA7" w14:textId="5E247F30" w:rsidR="00AB372F" w:rsidRPr="00997446" w:rsidRDefault="006E0F6A" w:rsidP="00997446">
      <w:pPr>
        <w:rPr>
          <w:sz w:val="20"/>
          <w:szCs w:val="20"/>
        </w:rPr>
      </w:pPr>
      <w:bookmarkStart w:id="2" w:name="_Ref155875912"/>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7</w:t>
      </w:r>
      <w:r w:rsidRPr="00997446">
        <w:rPr>
          <w:sz w:val="20"/>
          <w:szCs w:val="20"/>
        </w:rPr>
        <w:fldChar w:fldCharType="end"/>
      </w:r>
      <w:bookmarkEnd w:id="2"/>
      <w:r w:rsidRPr="00997446">
        <w:rPr>
          <w:sz w:val="20"/>
          <w:szCs w:val="20"/>
        </w:rPr>
        <w:t xml:space="preserve">: </w:t>
      </w:r>
      <w:r w:rsidR="00DF647C">
        <w:rPr>
          <w:sz w:val="20"/>
          <w:szCs w:val="20"/>
        </w:rPr>
        <w:t>A</w:t>
      </w:r>
      <w:r w:rsidRPr="00997446">
        <w:rPr>
          <w:sz w:val="20"/>
          <w:szCs w:val="20"/>
        </w:rPr>
        <w:t xml:space="preserve">verage policy cost and incidence curves, </w:t>
      </w:r>
      <w:r w:rsidR="5750F3E3" w:rsidRPr="5750F3E3">
        <w:rPr>
          <w:sz w:val="20"/>
          <w:szCs w:val="20"/>
        </w:rPr>
        <w:t xml:space="preserve">Paris </w:t>
      </w:r>
      <w:r w:rsidRPr="00997446">
        <w:rPr>
          <w:sz w:val="20"/>
          <w:szCs w:val="20"/>
        </w:rPr>
        <w:t xml:space="preserve">vs. </w:t>
      </w:r>
      <w:r w:rsidR="00EF3519">
        <w:rPr>
          <w:sz w:val="20"/>
          <w:szCs w:val="20"/>
        </w:rPr>
        <w:t>R</w:t>
      </w:r>
      <w:r w:rsidR="00A714BE">
        <w:rPr>
          <w:sz w:val="20"/>
          <w:szCs w:val="20"/>
        </w:rPr>
        <w:t>EF</w:t>
      </w:r>
      <w:r w:rsidRPr="00997446">
        <w:rPr>
          <w:sz w:val="20"/>
          <w:szCs w:val="20"/>
        </w:rPr>
        <w:t xml:space="preserve"> scenario</w:t>
      </w:r>
    </w:p>
    <w:p w14:paraId="534D642D" w14:textId="77777777" w:rsidR="00024ECB" w:rsidRPr="00107242" w:rsidRDefault="00024ECB" w:rsidP="00126E3E">
      <w:pPr>
        <w:keepNext/>
        <w:spacing w:after="120"/>
        <w:jc w:val="center"/>
      </w:pPr>
    </w:p>
    <w:p w14:paraId="693FA6D2" w14:textId="77777777" w:rsidR="00E23ABA" w:rsidRPr="00107242" w:rsidRDefault="00024ECB" w:rsidP="00126E3E">
      <w:pPr>
        <w:keepNext/>
        <w:spacing w:after="120"/>
        <w:jc w:val="center"/>
      </w:pPr>
      <w:r w:rsidRPr="00107242">
        <w:rPr>
          <w:noProof/>
        </w:rPr>
        <w:drawing>
          <wp:inline distT="0" distB="0" distL="0" distR="0" wp14:anchorId="2B85B460" wp14:editId="3F7F159A">
            <wp:extent cx="5681472" cy="3550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82886" cy="3551804"/>
                    </a:xfrm>
                    <a:prstGeom prst="rect">
                      <a:avLst/>
                    </a:prstGeom>
                  </pic:spPr>
                </pic:pic>
              </a:graphicData>
            </a:graphic>
          </wp:inline>
        </w:drawing>
      </w:r>
    </w:p>
    <w:p w14:paraId="787C0763" w14:textId="201086C1" w:rsidR="00B22DFB" w:rsidRDefault="00E23ABA" w:rsidP="00997446">
      <w:pPr>
        <w:rPr>
          <w:sz w:val="20"/>
          <w:szCs w:val="20"/>
        </w:rPr>
      </w:pPr>
      <w:bookmarkStart w:id="3" w:name="_Ref152759128"/>
      <w:bookmarkStart w:id="4" w:name="_Ref155875817"/>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8</w:t>
      </w:r>
      <w:r w:rsidRPr="00997446">
        <w:rPr>
          <w:sz w:val="20"/>
          <w:szCs w:val="20"/>
        </w:rPr>
        <w:fldChar w:fldCharType="end"/>
      </w:r>
      <w:bookmarkEnd w:id="3"/>
      <w:r w:rsidRPr="00997446">
        <w:rPr>
          <w:sz w:val="20"/>
          <w:szCs w:val="20"/>
        </w:rPr>
        <w:t>: Consumption share for income deciles across countries in 2050</w:t>
      </w:r>
      <w:bookmarkEnd w:id="4"/>
    </w:p>
    <w:p w14:paraId="142A05F0" w14:textId="77777777" w:rsidR="00912E98" w:rsidRDefault="00912E98" w:rsidP="00997446">
      <w:pPr>
        <w:rPr>
          <w:sz w:val="20"/>
          <w:szCs w:val="20"/>
        </w:rPr>
      </w:pPr>
    </w:p>
    <w:p w14:paraId="082C5047" w14:textId="77777777" w:rsidR="00726399" w:rsidRDefault="00726399" w:rsidP="00997446">
      <w:pPr>
        <w:rPr>
          <w:sz w:val="20"/>
          <w:szCs w:val="20"/>
        </w:rPr>
      </w:pPr>
    </w:p>
    <w:p w14:paraId="7CFFFFD6" w14:textId="77777777" w:rsidR="00726399" w:rsidRDefault="00726399" w:rsidP="00997446">
      <w:pPr>
        <w:rPr>
          <w:sz w:val="20"/>
          <w:szCs w:val="20"/>
        </w:rPr>
      </w:pPr>
    </w:p>
    <w:p w14:paraId="50C56A02" w14:textId="77777777" w:rsidR="00726399" w:rsidRDefault="00726399" w:rsidP="00E4192E">
      <w:pPr>
        <w:keepNext/>
        <w:jc w:val="center"/>
      </w:pPr>
      <w:r w:rsidRPr="00726399">
        <w:rPr>
          <w:noProof/>
          <w:sz w:val="20"/>
          <w:szCs w:val="20"/>
        </w:rPr>
        <w:drawing>
          <wp:inline distT="0" distB="0" distL="0" distR="0" wp14:anchorId="0A19975A" wp14:editId="64A32FE3">
            <wp:extent cx="5470391" cy="3977640"/>
            <wp:effectExtent l="0" t="0" r="0" b="3810"/>
            <wp:docPr id="1658239766" name="Picture 165823976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9766" name="Picture 1" descr="A screenshot of a graph&#10;&#10;Description automatically generated"/>
                    <pic:cNvPicPr/>
                  </pic:nvPicPr>
                  <pic:blipFill>
                    <a:blip r:embed="rId18"/>
                    <a:stretch>
                      <a:fillRect/>
                    </a:stretch>
                  </pic:blipFill>
                  <pic:spPr>
                    <a:xfrm>
                      <a:off x="0" y="0"/>
                      <a:ext cx="5478609" cy="3983615"/>
                    </a:xfrm>
                    <a:prstGeom prst="rect">
                      <a:avLst/>
                    </a:prstGeom>
                  </pic:spPr>
                </pic:pic>
              </a:graphicData>
            </a:graphic>
          </wp:inline>
        </w:drawing>
      </w:r>
    </w:p>
    <w:p w14:paraId="2DF31261" w14:textId="6E650711" w:rsidR="00726399" w:rsidRDefault="00726399" w:rsidP="00726399">
      <w:pPr>
        <w:rPr>
          <w:sz w:val="20"/>
          <w:szCs w:val="20"/>
        </w:rPr>
      </w:pPr>
      <w:bookmarkStart w:id="5" w:name="_Ref156214797"/>
      <w:r w:rsidRPr="00726399">
        <w:rPr>
          <w:sz w:val="20"/>
          <w:szCs w:val="20"/>
        </w:rPr>
        <w:t xml:space="preserve">Figure </w:t>
      </w:r>
      <w:r w:rsidRPr="00726399">
        <w:rPr>
          <w:sz w:val="20"/>
          <w:szCs w:val="20"/>
        </w:rPr>
        <w:fldChar w:fldCharType="begin"/>
      </w:r>
      <w:r w:rsidRPr="00726399">
        <w:rPr>
          <w:sz w:val="20"/>
          <w:szCs w:val="20"/>
        </w:rPr>
        <w:instrText xml:space="preserve"> SEQ Figure \* ARABIC </w:instrText>
      </w:r>
      <w:r w:rsidRPr="00726399">
        <w:rPr>
          <w:sz w:val="20"/>
          <w:szCs w:val="20"/>
        </w:rPr>
        <w:fldChar w:fldCharType="separate"/>
      </w:r>
      <w:r w:rsidR="00F763F8">
        <w:rPr>
          <w:noProof/>
          <w:sz w:val="20"/>
          <w:szCs w:val="20"/>
        </w:rPr>
        <w:t>9</w:t>
      </w:r>
      <w:r w:rsidRPr="00726399">
        <w:rPr>
          <w:sz w:val="20"/>
          <w:szCs w:val="20"/>
        </w:rPr>
        <w:fldChar w:fldCharType="end"/>
      </w:r>
      <w:bookmarkEnd w:id="5"/>
      <w:r w:rsidRPr="00726399">
        <w:rPr>
          <w:sz w:val="20"/>
          <w:szCs w:val="20"/>
        </w:rPr>
        <w:t>: Gini impact for the Weak Paris set of scenarios (1150 GtCO</w:t>
      </w:r>
      <w:r w:rsidRPr="004D475C">
        <w:rPr>
          <w:sz w:val="20"/>
          <w:szCs w:val="20"/>
          <w:vertAlign w:val="subscript"/>
        </w:rPr>
        <w:t>2</w:t>
      </w:r>
      <w:r w:rsidRPr="00726399">
        <w:rPr>
          <w:sz w:val="20"/>
          <w:szCs w:val="20"/>
        </w:rPr>
        <w:t>)</w:t>
      </w:r>
    </w:p>
    <w:p w14:paraId="1C73B0C7" w14:textId="77777777" w:rsidR="00912E98" w:rsidRPr="00107242" w:rsidRDefault="00912E98" w:rsidP="00912E98">
      <w:pPr>
        <w:keepNext/>
        <w:spacing w:after="120"/>
        <w:jc w:val="center"/>
      </w:pPr>
      <w:r w:rsidRPr="00107242">
        <w:rPr>
          <w:noProof/>
        </w:rPr>
        <w:lastRenderedPageBreak/>
        <w:drawing>
          <wp:inline distT="0" distB="0" distL="0" distR="0" wp14:anchorId="5B7B7D14" wp14:editId="471E71A9">
            <wp:extent cx="5486400" cy="3657600"/>
            <wp:effectExtent l="0" t="0" r="0" b="0"/>
            <wp:docPr id="1388518175" name="Picture 138851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18175" name="Picture 138851817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7459" cy="3658306"/>
                    </a:xfrm>
                    <a:prstGeom prst="rect">
                      <a:avLst/>
                    </a:prstGeom>
                  </pic:spPr>
                </pic:pic>
              </a:graphicData>
            </a:graphic>
          </wp:inline>
        </w:drawing>
      </w:r>
    </w:p>
    <w:p w14:paraId="1D518582" w14:textId="7E00D49A" w:rsidR="00912E98" w:rsidRPr="00997446" w:rsidRDefault="00912E98" w:rsidP="00912E98">
      <w:pPr>
        <w:rPr>
          <w:sz w:val="20"/>
          <w:szCs w:val="20"/>
        </w:rPr>
      </w:pPr>
      <w:bookmarkStart w:id="6" w:name="_Ref153969016"/>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10</w:t>
      </w:r>
      <w:r w:rsidRPr="00997446">
        <w:rPr>
          <w:sz w:val="20"/>
          <w:szCs w:val="20"/>
        </w:rPr>
        <w:fldChar w:fldCharType="end"/>
      </w:r>
      <w:bookmarkEnd w:id="6"/>
      <w:r w:rsidRPr="00997446">
        <w:rPr>
          <w:sz w:val="20"/>
          <w:szCs w:val="20"/>
        </w:rPr>
        <w:t xml:space="preserve">: </w:t>
      </w:r>
      <w:r>
        <w:rPr>
          <w:sz w:val="20"/>
          <w:szCs w:val="20"/>
        </w:rPr>
        <w:t>Country-specific c</w:t>
      </w:r>
      <w:r w:rsidRPr="00997446">
        <w:rPr>
          <w:sz w:val="20"/>
          <w:szCs w:val="20"/>
        </w:rPr>
        <w:t xml:space="preserve">hange in the Gini index from the reference scenario (in points), in the </w:t>
      </w:r>
      <w:r w:rsidR="5750F3E3" w:rsidRPr="002A1DB6">
        <w:rPr>
          <w:i/>
          <w:iCs/>
          <w:sz w:val="20"/>
          <w:szCs w:val="20"/>
        </w:rPr>
        <w:t xml:space="preserve">Paris </w:t>
      </w:r>
      <w:r w:rsidRPr="00997446">
        <w:rPr>
          <w:sz w:val="20"/>
          <w:szCs w:val="20"/>
        </w:rPr>
        <w:t xml:space="preserve">scenario. </w:t>
      </w:r>
      <w:r w:rsidRPr="702E879E">
        <w:rPr>
          <w:sz w:val="20"/>
          <w:szCs w:val="20"/>
        </w:rPr>
        <w:t>Top row shows the impact of</w:t>
      </w:r>
      <w:r w:rsidR="004D475C">
        <w:rPr>
          <w:sz w:val="20"/>
          <w:szCs w:val="20"/>
        </w:rPr>
        <w:t xml:space="preserve"> </w:t>
      </w:r>
      <w:r w:rsidRPr="00997446">
        <w:rPr>
          <w:sz w:val="20"/>
          <w:szCs w:val="20"/>
        </w:rPr>
        <w:t xml:space="preserve">climate policy with neutral redistribution, middle row </w:t>
      </w:r>
      <w:r w:rsidRPr="702E879E">
        <w:rPr>
          <w:sz w:val="20"/>
          <w:szCs w:val="20"/>
        </w:rPr>
        <w:t>includes</w:t>
      </w:r>
      <w:r w:rsidRPr="00997446">
        <w:rPr>
          <w:sz w:val="20"/>
          <w:szCs w:val="20"/>
        </w:rPr>
        <w:t xml:space="preserve"> equal per capita redistribution, bottom row </w:t>
      </w:r>
      <w:r w:rsidRPr="702E879E">
        <w:rPr>
          <w:sz w:val="20"/>
          <w:szCs w:val="20"/>
        </w:rPr>
        <w:t>includes</w:t>
      </w:r>
      <w:r w:rsidRPr="00997446">
        <w:rPr>
          <w:sz w:val="20"/>
          <w:szCs w:val="20"/>
        </w:rPr>
        <w:t xml:space="preserve"> avoided climate impacts.</w:t>
      </w:r>
    </w:p>
    <w:p w14:paraId="667DE390" w14:textId="77777777" w:rsidR="00912E98" w:rsidRDefault="00912E98" w:rsidP="00997446">
      <w:pPr>
        <w:rPr>
          <w:sz w:val="20"/>
          <w:szCs w:val="20"/>
        </w:rPr>
      </w:pPr>
    </w:p>
    <w:p w14:paraId="35826A85" w14:textId="77777777" w:rsidR="00624B37" w:rsidRPr="00107242" w:rsidRDefault="00624B37" w:rsidP="00624B37">
      <w:pPr>
        <w:keepNext/>
        <w:spacing w:after="120"/>
        <w:jc w:val="both"/>
      </w:pPr>
      <w:r w:rsidRPr="00107242">
        <w:rPr>
          <w:b/>
          <w:bCs/>
          <w:i/>
          <w:iCs/>
          <w:noProof/>
          <w:lang w:val="en-US"/>
        </w:rPr>
        <w:drawing>
          <wp:inline distT="0" distB="0" distL="0" distR="0" wp14:anchorId="34BA590F" wp14:editId="030059BB">
            <wp:extent cx="5638800" cy="3759201"/>
            <wp:effectExtent l="0" t="0" r="0" b="0"/>
            <wp:docPr id="1556151773" name="Picture 155615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51773" name="Picture 155615177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647068" cy="3764713"/>
                    </a:xfrm>
                    <a:prstGeom prst="rect">
                      <a:avLst/>
                    </a:prstGeom>
                    <a:noFill/>
                    <a:ln>
                      <a:noFill/>
                    </a:ln>
                  </pic:spPr>
                </pic:pic>
              </a:graphicData>
            </a:graphic>
          </wp:inline>
        </w:drawing>
      </w:r>
    </w:p>
    <w:p w14:paraId="673D462F" w14:textId="4DC0C454" w:rsidR="00624B37" w:rsidRPr="00997446" w:rsidRDefault="00624B37" w:rsidP="00624B37">
      <w:pPr>
        <w:rPr>
          <w:sz w:val="20"/>
          <w:szCs w:val="20"/>
        </w:rPr>
      </w:pPr>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11</w:t>
      </w:r>
      <w:r w:rsidRPr="00997446">
        <w:rPr>
          <w:sz w:val="20"/>
          <w:szCs w:val="20"/>
        </w:rPr>
        <w:fldChar w:fldCharType="end"/>
      </w:r>
      <w:r w:rsidRPr="00997446">
        <w:rPr>
          <w:sz w:val="20"/>
          <w:szCs w:val="20"/>
        </w:rPr>
        <w:t>:</w:t>
      </w:r>
      <w:r w:rsidR="004D475C">
        <w:rPr>
          <w:sz w:val="20"/>
          <w:szCs w:val="20"/>
        </w:rPr>
        <w:t xml:space="preserve"> </w:t>
      </w:r>
      <w:r>
        <w:rPr>
          <w:sz w:val="20"/>
          <w:szCs w:val="20"/>
        </w:rPr>
        <w:t>Country-specific P</w:t>
      </w:r>
      <w:r w:rsidRPr="00997446">
        <w:rPr>
          <w:sz w:val="20"/>
          <w:szCs w:val="20"/>
        </w:rPr>
        <w:t xml:space="preserve">olicy Cost in terms of GDP loss from the reference scenario (in %), in the </w:t>
      </w:r>
      <w:r w:rsidR="00DD3214">
        <w:rPr>
          <w:sz w:val="20"/>
          <w:szCs w:val="20"/>
        </w:rPr>
        <w:t>Paris</w:t>
      </w:r>
      <w:r w:rsidR="00DD3214" w:rsidRPr="00997446">
        <w:rPr>
          <w:sz w:val="20"/>
          <w:szCs w:val="20"/>
        </w:rPr>
        <w:t xml:space="preserve"> </w:t>
      </w:r>
      <w:r w:rsidRPr="00997446">
        <w:rPr>
          <w:sz w:val="20"/>
          <w:szCs w:val="20"/>
        </w:rPr>
        <w:t xml:space="preserve">scenario. </w:t>
      </w:r>
      <w:r w:rsidRPr="702E879E">
        <w:rPr>
          <w:sz w:val="20"/>
          <w:szCs w:val="20"/>
        </w:rPr>
        <w:t>The top</w:t>
      </w:r>
      <w:r w:rsidRPr="00997446">
        <w:rPr>
          <w:sz w:val="20"/>
          <w:szCs w:val="20"/>
        </w:rPr>
        <w:t xml:space="preserve"> row </w:t>
      </w:r>
      <w:r w:rsidRPr="702E879E">
        <w:rPr>
          <w:sz w:val="20"/>
          <w:szCs w:val="20"/>
        </w:rPr>
        <w:t xml:space="preserve">shows </w:t>
      </w:r>
      <w:r w:rsidRPr="00997446">
        <w:rPr>
          <w:sz w:val="20"/>
          <w:szCs w:val="20"/>
        </w:rPr>
        <w:t xml:space="preserve">climate policy with neutral redistribution, </w:t>
      </w:r>
      <w:r w:rsidRPr="702E879E">
        <w:rPr>
          <w:sz w:val="20"/>
          <w:szCs w:val="20"/>
        </w:rPr>
        <w:t xml:space="preserve">the </w:t>
      </w:r>
      <w:r w:rsidRPr="00997446">
        <w:rPr>
          <w:sz w:val="20"/>
          <w:szCs w:val="20"/>
        </w:rPr>
        <w:t xml:space="preserve">middle row </w:t>
      </w:r>
      <w:r w:rsidRPr="702E879E">
        <w:rPr>
          <w:sz w:val="20"/>
          <w:szCs w:val="20"/>
        </w:rPr>
        <w:t>includes</w:t>
      </w:r>
      <w:r w:rsidRPr="00997446">
        <w:rPr>
          <w:sz w:val="20"/>
          <w:szCs w:val="20"/>
        </w:rPr>
        <w:t xml:space="preserve"> equal per capita redistribution, </w:t>
      </w:r>
      <w:r w:rsidRPr="702E879E">
        <w:rPr>
          <w:sz w:val="20"/>
          <w:szCs w:val="20"/>
        </w:rPr>
        <w:t xml:space="preserve">the </w:t>
      </w:r>
      <w:r w:rsidRPr="00997446">
        <w:rPr>
          <w:sz w:val="20"/>
          <w:szCs w:val="20"/>
        </w:rPr>
        <w:t xml:space="preserve">bottom row </w:t>
      </w:r>
      <w:r w:rsidRPr="702E879E">
        <w:rPr>
          <w:sz w:val="20"/>
          <w:szCs w:val="20"/>
        </w:rPr>
        <w:t>includes</w:t>
      </w:r>
      <w:r w:rsidRPr="00997446">
        <w:rPr>
          <w:sz w:val="20"/>
          <w:szCs w:val="20"/>
        </w:rPr>
        <w:t xml:space="preserve"> avoided climate impacts.</w:t>
      </w:r>
    </w:p>
    <w:p w14:paraId="032414AF" w14:textId="77777777" w:rsidR="00624B37" w:rsidRDefault="00624B37" w:rsidP="00997446">
      <w:pPr>
        <w:rPr>
          <w:sz w:val="20"/>
          <w:szCs w:val="20"/>
        </w:rPr>
      </w:pPr>
    </w:p>
    <w:p w14:paraId="533A26F4" w14:textId="77777777" w:rsidR="00164320" w:rsidRDefault="00164320" w:rsidP="00997446">
      <w:pPr>
        <w:rPr>
          <w:sz w:val="20"/>
          <w:szCs w:val="20"/>
        </w:rPr>
      </w:pPr>
    </w:p>
    <w:p w14:paraId="0A4BE521" w14:textId="77777777" w:rsidR="008E7752" w:rsidRDefault="00164320" w:rsidP="00153E4D">
      <w:pPr>
        <w:spacing w:line="259" w:lineRule="auto"/>
        <w:rPr>
          <w:sz w:val="20"/>
          <w:szCs w:val="20"/>
        </w:rPr>
      </w:pPr>
      <w:r>
        <w:rPr>
          <w:rFonts w:ascii="Calibri" w:eastAsia="Times New Roman" w:hAnsi="Calibri"/>
          <w:noProof/>
          <w:lang w:eastAsia="en-GB"/>
        </w:rPr>
        <w:lastRenderedPageBreak/>
        <w:drawing>
          <wp:inline distT="0" distB="0" distL="0" distR="0" wp14:anchorId="7118D466" wp14:editId="59894A9D">
            <wp:extent cx="5608320" cy="3738881"/>
            <wp:effectExtent l="0" t="0" r="0" b="0"/>
            <wp:docPr id="1116145351" name="Picture 111614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45351" name="Picture 111614535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09508" cy="3739673"/>
                    </a:xfrm>
                    <a:prstGeom prst="rect">
                      <a:avLst/>
                    </a:prstGeom>
                  </pic:spPr>
                </pic:pic>
              </a:graphicData>
            </a:graphic>
          </wp:inline>
        </w:drawing>
      </w:r>
    </w:p>
    <w:p w14:paraId="2E4D934E" w14:textId="478667E0" w:rsidR="00164320" w:rsidRPr="00997446" w:rsidRDefault="00164320" w:rsidP="00153E4D">
      <w:pPr>
        <w:spacing w:line="259" w:lineRule="auto"/>
        <w:rPr>
          <w:sz w:val="20"/>
          <w:szCs w:val="20"/>
        </w:rPr>
      </w:pPr>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12</w:t>
      </w:r>
      <w:r w:rsidRPr="00997446">
        <w:rPr>
          <w:sz w:val="20"/>
          <w:szCs w:val="20"/>
        </w:rPr>
        <w:fldChar w:fldCharType="end"/>
      </w:r>
      <w:r w:rsidRPr="00997446">
        <w:rPr>
          <w:sz w:val="20"/>
          <w:szCs w:val="20"/>
        </w:rPr>
        <w:t xml:space="preserve">: </w:t>
      </w:r>
      <w:r>
        <w:rPr>
          <w:sz w:val="20"/>
          <w:szCs w:val="20"/>
        </w:rPr>
        <w:t>Country-specific w</w:t>
      </w:r>
      <w:r w:rsidRPr="00997446">
        <w:rPr>
          <w:sz w:val="20"/>
          <w:szCs w:val="20"/>
        </w:rPr>
        <w:t xml:space="preserve">elfare impact based on the Sen welfare function (in %), in the </w:t>
      </w:r>
      <w:r w:rsidR="00DD3214">
        <w:rPr>
          <w:sz w:val="20"/>
          <w:szCs w:val="20"/>
        </w:rPr>
        <w:t>Paris</w:t>
      </w:r>
      <w:r w:rsidR="00DD3214" w:rsidRPr="00997446">
        <w:rPr>
          <w:sz w:val="20"/>
          <w:szCs w:val="20"/>
        </w:rPr>
        <w:t xml:space="preserve"> </w:t>
      </w:r>
      <w:r w:rsidRPr="00997446">
        <w:rPr>
          <w:sz w:val="20"/>
          <w:szCs w:val="20"/>
        </w:rPr>
        <w:t xml:space="preserve">scenario. </w:t>
      </w:r>
      <w:r w:rsidRPr="702E879E">
        <w:rPr>
          <w:sz w:val="20"/>
          <w:szCs w:val="20"/>
        </w:rPr>
        <w:t>The t</w:t>
      </w:r>
      <w:r w:rsidRPr="00997446">
        <w:rPr>
          <w:sz w:val="20"/>
          <w:szCs w:val="20"/>
        </w:rPr>
        <w:t xml:space="preserve">op row </w:t>
      </w:r>
      <w:r w:rsidRPr="702E879E">
        <w:rPr>
          <w:sz w:val="20"/>
          <w:szCs w:val="20"/>
        </w:rPr>
        <w:t>shows</w:t>
      </w:r>
      <w:r w:rsidRPr="00997446">
        <w:rPr>
          <w:sz w:val="20"/>
          <w:szCs w:val="20"/>
        </w:rPr>
        <w:t xml:space="preserve"> climate policy with neutral redistribution, </w:t>
      </w:r>
      <w:r w:rsidRPr="702E879E">
        <w:rPr>
          <w:sz w:val="20"/>
          <w:szCs w:val="20"/>
        </w:rPr>
        <w:t xml:space="preserve">the </w:t>
      </w:r>
      <w:r w:rsidRPr="00997446">
        <w:rPr>
          <w:sz w:val="20"/>
          <w:szCs w:val="20"/>
        </w:rPr>
        <w:t xml:space="preserve">middle row </w:t>
      </w:r>
      <w:r w:rsidRPr="702E879E">
        <w:rPr>
          <w:sz w:val="20"/>
          <w:szCs w:val="20"/>
        </w:rPr>
        <w:t>includes</w:t>
      </w:r>
      <w:r w:rsidRPr="00997446">
        <w:rPr>
          <w:sz w:val="20"/>
          <w:szCs w:val="20"/>
        </w:rPr>
        <w:t xml:space="preserve"> equal per capita redistribution, </w:t>
      </w:r>
      <w:r w:rsidRPr="702E879E">
        <w:rPr>
          <w:sz w:val="20"/>
          <w:szCs w:val="20"/>
        </w:rPr>
        <w:t xml:space="preserve">the </w:t>
      </w:r>
      <w:r w:rsidRPr="00997446">
        <w:rPr>
          <w:sz w:val="20"/>
          <w:szCs w:val="20"/>
        </w:rPr>
        <w:t xml:space="preserve">bottom row </w:t>
      </w:r>
      <w:r w:rsidRPr="702E879E">
        <w:rPr>
          <w:sz w:val="20"/>
          <w:szCs w:val="20"/>
        </w:rPr>
        <w:t>includes</w:t>
      </w:r>
      <w:r w:rsidRPr="00997446">
        <w:rPr>
          <w:sz w:val="20"/>
          <w:szCs w:val="20"/>
        </w:rPr>
        <w:t xml:space="preserve"> avoided climate impacts.</w:t>
      </w:r>
    </w:p>
    <w:p w14:paraId="713919BC" w14:textId="77777777" w:rsidR="00164320" w:rsidRPr="00997446" w:rsidRDefault="00164320" w:rsidP="00997446">
      <w:pPr>
        <w:rPr>
          <w:sz w:val="20"/>
          <w:szCs w:val="20"/>
        </w:rPr>
      </w:pPr>
    </w:p>
    <w:p w14:paraId="0FA1F51A" w14:textId="77777777" w:rsidR="00DA695C" w:rsidRPr="00107242" w:rsidRDefault="00B22DFB" w:rsidP="00126E3E">
      <w:pPr>
        <w:keepNext/>
        <w:spacing w:after="120"/>
        <w:jc w:val="center"/>
      </w:pPr>
      <w:r w:rsidRPr="00107242">
        <w:rPr>
          <w:noProof/>
        </w:rPr>
        <w:lastRenderedPageBreak/>
        <w:drawing>
          <wp:inline distT="0" distB="0" distL="0" distR="0" wp14:anchorId="2ECDEECF" wp14:editId="0B260B43">
            <wp:extent cx="3701057" cy="4440228"/>
            <wp:effectExtent l="0" t="0" r="0" b="0"/>
            <wp:docPr id="1284372502" name="Picture 128437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72502" name="Picture 1284372502"/>
                    <pic:cNvPicPr/>
                  </pic:nvPicPr>
                  <pic:blipFill>
                    <a:blip r:embed="rId22">
                      <a:extLst>
                        <a:ext uri="{28A0092B-C50C-407E-A947-70E740481C1C}">
                          <a14:useLocalDpi xmlns:a14="http://schemas.microsoft.com/office/drawing/2010/main" val="0"/>
                        </a:ext>
                      </a:extLst>
                    </a:blip>
                    <a:stretch>
                      <a:fillRect/>
                    </a:stretch>
                  </pic:blipFill>
                  <pic:spPr>
                    <a:xfrm>
                      <a:off x="0" y="0"/>
                      <a:ext cx="3708648" cy="4449335"/>
                    </a:xfrm>
                    <a:prstGeom prst="rect">
                      <a:avLst/>
                    </a:prstGeom>
                  </pic:spPr>
                </pic:pic>
              </a:graphicData>
            </a:graphic>
          </wp:inline>
        </w:drawing>
      </w:r>
    </w:p>
    <w:p w14:paraId="739430DD" w14:textId="5D3EAEEF" w:rsidR="00206166" w:rsidRPr="00997446" w:rsidRDefault="00DA695C" w:rsidP="00997446">
      <w:pPr>
        <w:rPr>
          <w:sz w:val="20"/>
          <w:szCs w:val="20"/>
        </w:rPr>
      </w:pPr>
      <w:r w:rsidRPr="00997446">
        <w:rPr>
          <w:sz w:val="20"/>
          <w:szCs w:val="20"/>
        </w:rPr>
        <w:t xml:space="preserve">Table </w:t>
      </w:r>
      <w:r w:rsidR="006D376F">
        <w:rPr>
          <w:sz w:val="20"/>
          <w:szCs w:val="20"/>
        </w:rPr>
        <w:fldChar w:fldCharType="begin"/>
      </w:r>
      <w:r w:rsidR="006D376F">
        <w:rPr>
          <w:sz w:val="20"/>
          <w:szCs w:val="20"/>
        </w:rPr>
        <w:instrText xml:space="preserve"> SEQ Table \* ARABIC </w:instrText>
      </w:r>
      <w:r w:rsidR="006D376F">
        <w:rPr>
          <w:sz w:val="20"/>
          <w:szCs w:val="20"/>
        </w:rPr>
        <w:fldChar w:fldCharType="separate"/>
      </w:r>
      <w:r w:rsidR="00F763F8">
        <w:rPr>
          <w:noProof/>
          <w:sz w:val="20"/>
          <w:szCs w:val="20"/>
        </w:rPr>
        <w:t>2</w:t>
      </w:r>
      <w:r w:rsidR="006D376F">
        <w:rPr>
          <w:sz w:val="20"/>
          <w:szCs w:val="20"/>
        </w:rPr>
        <w:fldChar w:fldCharType="end"/>
      </w:r>
      <w:r w:rsidRPr="00997446">
        <w:rPr>
          <w:sz w:val="20"/>
          <w:szCs w:val="20"/>
        </w:rPr>
        <w:t>: Regressions of the pooled sample to estimate the income elasticity of climate policy incidence</w:t>
      </w:r>
      <w:r w:rsidR="00DF7574">
        <w:rPr>
          <w:sz w:val="20"/>
          <w:szCs w:val="20"/>
        </w:rPr>
        <w:t>. The reference categor</w:t>
      </w:r>
      <w:r w:rsidR="009A0445">
        <w:rPr>
          <w:sz w:val="20"/>
          <w:szCs w:val="20"/>
        </w:rPr>
        <w:t>y</w:t>
      </w:r>
      <w:r w:rsidR="00DF7574">
        <w:rPr>
          <w:sz w:val="20"/>
          <w:szCs w:val="20"/>
        </w:rPr>
        <w:t xml:space="preserve"> </w:t>
      </w:r>
      <w:r w:rsidR="009A0445">
        <w:rPr>
          <w:sz w:val="20"/>
          <w:szCs w:val="20"/>
        </w:rPr>
        <w:t>is</w:t>
      </w:r>
      <w:r w:rsidR="00261079">
        <w:rPr>
          <w:sz w:val="20"/>
          <w:szCs w:val="20"/>
        </w:rPr>
        <w:t xml:space="preserve"> the United States</w:t>
      </w:r>
      <w:r w:rsidR="00762F2E">
        <w:rPr>
          <w:sz w:val="20"/>
          <w:szCs w:val="20"/>
        </w:rPr>
        <w:t>, the AIM model,</w:t>
      </w:r>
      <w:r w:rsidR="004D475C">
        <w:rPr>
          <w:sz w:val="20"/>
          <w:szCs w:val="20"/>
        </w:rPr>
        <w:t xml:space="preserve"> </w:t>
      </w:r>
      <w:r w:rsidR="00762F2E">
        <w:rPr>
          <w:sz w:val="20"/>
          <w:szCs w:val="20"/>
        </w:rPr>
        <w:t xml:space="preserve">and the year </w:t>
      </w:r>
      <w:r w:rsidR="00261079">
        <w:rPr>
          <w:sz w:val="20"/>
          <w:szCs w:val="20"/>
        </w:rPr>
        <w:t>2020</w:t>
      </w:r>
      <w:r w:rsidR="00762F2E">
        <w:rPr>
          <w:sz w:val="20"/>
          <w:szCs w:val="20"/>
        </w:rPr>
        <w:t>.</w:t>
      </w:r>
    </w:p>
    <w:p w14:paraId="77869720" w14:textId="77777777" w:rsidR="00B22DFB" w:rsidRPr="00107242" w:rsidRDefault="00B22DFB" w:rsidP="00126E3E">
      <w:pPr>
        <w:spacing w:after="120"/>
      </w:pPr>
    </w:p>
    <w:p w14:paraId="556BCABA" w14:textId="77777777" w:rsidR="009006D9" w:rsidRPr="00107242" w:rsidRDefault="009006D9" w:rsidP="00126E3E">
      <w:pPr>
        <w:keepNext/>
        <w:spacing w:after="120"/>
        <w:jc w:val="center"/>
      </w:pPr>
      <w:r w:rsidRPr="00107242">
        <w:rPr>
          <w:noProof/>
        </w:rPr>
        <w:drawing>
          <wp:inline distT="0" distB="0" distL="0" distR="0" wp14:anchorId="508CCCF0" wp14:editId="09DC5683">
            <wp:extent cx="3769906" cy="2827430"/>
            <wp:effectExtent l="0" t="0" r="2540" b="0"/>
            <wp:docPr id="1595379374" name="Picture 1595379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79374" name="Picture 159537937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69906" cy="2827430"/>
                    </a:xfrm>
                    <a:prstGeom prst="rect">
                      <a:avLst/>
                    </a:prstGeom>
                  </pic:spPr>
                </pic:pic>
              </a:graphicData>
            </a:graphic>
          </wp:inline>
        </w:drawing>
      </w:r>
    </w:p>
    <w:p w14:paraId="189674B1" w14:textId="7082D83A" w:rsidR="004B4A31" w:rsidRPr="00997446" w:rsidRDefault="009006D9" w:rsidP="00997446">
      <w:pPr>
        <w:rPr>
          <w:sz w:val="20"/>
          <w:szCs w:val="20"/>
        </w:rPr>
      </w:pPr>
      <w:bookmarkStart w:id="7" w:name="_Ref153279720"/>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13</w:t>
      </w:r>
      <w:r w:rsidRPr="00997446">
        <w:rPr>
          <w:sz w:val="20"/>
          <w:szCs w:val="20"/>
        </w:rPr>
        <w:fldChar w:fldCharType="end"/>
      </w:r>
      <w:bookmarkEnd w:id="7"/>
      <w:r w:rsidRPr="00997446">
        <w:rPr>
          <w:sz w:val="20"/>
          <w:szCs w:val="20"/>
        </w:rPr>
        <w:t xml:space="preserve">: </w:t>
      </w:r>
      <w:r w:rsidR="00206166" w:rsidRPr="00997446">
        <w:rPr>
          <w:sz w:val="20"/>
          <w:szCs w:val="20"/>
        </w:rPr>
        <w:t>Estimated income elasticity of climate policy incidence per country</w:t>
      </w:r>
      <w:r w:rsidR="002A56E5">
        <w:rPr>
          <w:sz w:val="20"/>
          <w:szCs w:val="20"/>
        </w:rPr>
        <w:t xml:space="preserve">, </w:t>
      </w:r>
      <w:r w:rsidR="006C7056">
        <w:rPr>
          <w:sz w:val="20"/>
          <w:szCs w:val="20"/>
        </w:rPr>
        <w:t>the x-axis shows the GDP per capita in 2020.</w:t>
      </w:r>
    </w:p>
    <w:p w14:paraId="23786856" w14:textId="77777777" w:rsidR="00F46957" w:rsidRPr="00107242" w:rsidRDefault="003774AB" w:rsidP="00126E3E">
      <w:pPr>
        <w:keepNext/>
        <w:spacing w:after="120"/>
      </w:pPr>
      <w:r w:rsidRPr="00107242">
        <w:rPr>
          <w:noProof/>
        </w:rPr>
        <w:lastRenderedPageBreak/>
        <w:drawing>
          <wp:inline distT="0" distB="0" distL="0" distR="0" wp14:anchorId="1FD976DC" wp14:editId="4DF8C925">
            <wp:extent cx="6119807" cy="40798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19807" cy="4079871"/>
                    </a:xfrm>
                    <a:prstGeom prst="rect">
                      <a:avLst/>
                    </a:prstGeom>
                  </pic:spPr>
                </pic:pic>
              </a:graphicData>
            </a:graphic>
          </wp:inline>
        </w:drawing>
      </w:r>
    </w:p>
    <w:p w14:paraId="23BC05BB" w14:textId="6D08F117" w:rsidR="003774AB" w:rsidRPr="00997446" w:rsidRDefault="00F46957" w:rsidP="00997446">
      <w:pPr>
        <w:rPr>
          <w:sz w:val="20"/>
          <w:szCs w:val="20"/>
        </w:rPr>
      </w:pPr>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14</w:t>
      </w:r>
      <w:r w:rsidRPr="00997446">
        <w:rPr>
          <w:sz w:val="20"/>
          <w:szCs w:val="20"/>
        </w:rPr>
        <w:fldChar w:fldCharType="end"/>
      </w:r>
      <w:r w:rsidRPr="00997446">
        <w:rPr>
          <w:sz w:val="20"/>
          <w:szCs w:val="20"/>
        </w:rPr>
        <w:t xml:space="preserve">: Carbon prices in the </w:t>
      </w:r>
      <w:r w:rsidR="5750F3E3" w:rsidRPr="5750F3E3">
        <w:rPr>
          <w:sz w:val="20"/>
          <w:szCs w:val="20"/>
        </w:rPr>
        <w:t xml:space="preserve">Paris </w:t>
      </w:r>
      <w:r w:rsidRPr="00997446">
        <w:rPr>
          <w:sz w:val="20"/>
          <w:szCs w:val="20"/>
        </w:rPr>
        <w:t>scenario over time</w:t>
      </w:r>
    </w:p>
    <w:p w14:paraId="7703B563" w14:textId="77777777" w:rsidR="008017C7" w:rsidRPr="00107242" w:rsidRDefault="00101632" w:rsidP="00126E3E">
      <w:pPr>
        <w:keepNext/>
        <w:spacing w:after="120"/>
      </w:pPr>
      <w:r w:rsidRPr="00107242">
        <w:rPr>
          <w:noProof/>
        </w:rPr>
        <w:drawing>
          <wp:inline distT="0" distB="0" distL="0" distR="0" wp14:anchorId="7735FE6D" wp14:editId="7D5E31E0">
            <wp:extent cx="6119807" cy="40798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19807" cy="4079872"/>
                    </a:xfrm>
                    <a:prstGeom prst="rect">
                      <a:avLst/>
                    </a:prstGeom>
                  </pic:spPr>
                </pic:pic>
              </a:graphicData>
            </a:graphic>
          </wp:inline>
        </w:drawing>
      </w:r>
    </w:p>
    <w:p w14:paraId="629AD8AC" w14:textId="372B5E87" w:rsidR="00101632" w:rsidRPr="00997446" w:rsidRDefault="008017C7" w:rsidP="00997446">
      <w:pPr>
        <w:rPr>
          <w:sz w:val="20"/>
          <w:szCs w:val="20"/>
        </w:rPr>
      </w:pPr>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15</w:t>
      </w:r>
      <w:r w:rsidRPr="00997446">
        <w:rPr>
          <w:sz w:val="20"/>
          <w:szCs w:val="20"/>
        </w:rPr>
        <w:fldChar w:fldCharType="end"/>
      </w:r>
      <w:r w:rsidRPr="00997446">
        <w:rPr>
          <w:sz w:val="20"/>
          <w:szCs w:val="20"/>
        </w:rPr>
        <w:t xml:space="preserve">: Carbon revenues in the </w:t>
      </w:r>
      <w:r w:rsidR="5750F3E3" w:rsidRPr="0028316E">
        <w:rPr>
          <w:sz w:val="20"/>
          <w:szCs w:val="20"/>
        </w:rPr>
        <w:t>Paris</w:t>
      </w:r>
      <w:r w:rsidR="5750F3E3" w:rsidRPr="002A1DB6">
        <w:rPr>
          <w:i/>
          <w:iCs/>
          <w:sz w:val="20"/>
          <w:szCs w:val="20"/>
        </w:rPr>
        <w:t xml:space="preserve"> </w:t>
      </w:r>
      <w:r w:rsidRPr="00997446">
        <w:rPr>
          <w:sz w:val="20"/>
          <w:szCs w:val="20"/>
        </w:rPr>
        <w:t>scenario over time (per capita)</w:t>
      </w:r>
    </w:p>
    <w:p w14:paraId="434820B2" w14:textId="77777777" w:rsidR="0038441B" w:rsidRPr="00107242" w:rsidRDefault="00AF2FF7" w:rsidP="00126E3E">
      <w:pPr>
        <w:keepNext/>
        <w:spacing w:after="120"/>
      </w:pPr>
      <w:r w:rsidRPr="00107242">
        <w:rPr>
          <w:noProof/>
        </w:rPr>
        <w:lastRenderedPageBreak/>
        <w:drawing>
          <wp:inline distT="0" distB="0" distL="0" distR="0" wp14:anchorId="07272E44" wp14:editId="1C7987DF">
            <wp:extent cx="6106469" cy="407098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06469" cy="4070980"/>
                    </a:xfrm>
                    <a:prstGeom prst="rect">
                      <a:avLst/>
                    </a:prstGeom>
                  </pic:spPr>
                </pic:pic>
              </a:graphicData>
            </a:graphic>
          </wp:inline>
        </w:drawing>
      </w:r>
    </w:p>
    <w:p w14:paraId="728901AF" w14:textId="672AD40F" w:rsidR="0038441B" w:rsidRPr="00997446" w:rsidRDefault="0038441B" w:rsidP="00997446">
      <w:pPr>
        <w:rPr>
          <w:sz w:val="20"/>
          <w:szCs w:val="20"/>
        </w:rPr>
      </w:pPr>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16</w:t>
      </w:r>
      <w:r w:rsidRPr="00997446">
        <w:rPr>
          <w:sz w:val="20"/>
          <w:szCs w:val="20"/>
        </w:rPr>
        <w:fldChar w:fldCharType="end"/>
      </w:r>
      <w:r w:rsidRPr="00997446">
        <w:rPr>
          <w:sz w:val="20"/>
          <w:szCs w:val="20"/>
        </w:rPr>
        <w:t xml:space="preserve">: Carbon revenues and the impact on the </w:t>
      </w:r>
      <w:r w:rsidR="006B263B">
        <w:rPr>
          <w:sz w:val="20"/>
          <w:szCs w:val="20"/>
        </w:rPr>
        <w:t>G</w:t>
      </w:r>
      <w:r w:rsidRPr="00997446">
        <w:rPr>
          <w:sz w:val="20"/>
          <w:szCs w:val="20"/>
        </w:rPr>
        <w:t>ini index (</w:t>
      </w:r>
      <w:r w:rsidR="00DD3214">
        <w:rPr>
          <w:sz w:val="20"/>
          <w:szCs w:val="20"/>
        </w:rPr>
        <w:t>Paris</w:t>
      </w:r>
      <w:r w:rsidR="00DD3214" w:rsidRPr="00997446">
        <w:rPr>
          <w:sz w:val="20"/>
          <w:szCs w:val="20"/>
        </w:rPr>
        <w:t xml:space="preserve"> </w:t>
      </w:r>
      <w:r w:rsidRPr="00997446">
        <w:rPr>
          <w:sz w:val="20"/>
          <w:szCs w:val="20"/>
        </w:rPr>
        <w:t>scenario). blue lines indicate country-specific linear regression line.</w:t>
      </w:r>
    </w:p>
    <w:p w14:paraId="6B0E62C3" w14:textId="47452924" w:rsidR="00AF2FF7" w:rsidRPr="00107242" w:rsidRDefault="00AF2FF7" w:rsidP="00126E3E">
      <w:pPr>
        <w:keepNext/>
        <w:spacing w:after="120"/>
      </w:pPr>
    </w:p>
    <w:p w14:paraId="173340C6" w14:textId="77777777" w:rsidR="00AF2FF7" w:rsidRPr="00107242" w:rsidRDefault="00AF2FF7" w:rsidP="00126E3E">
      <w:pPr>
        <w:spacing w:after="120"/>
      </w:pPr>
    </w:p>
    <w:p w14:paraId="25329758" w14:textId="77777777" w:rsidR="00563BB2" w:rsidRPr="00107242" w:rsidRDefault="00DE6145" w:rsidP="00126E3E">
      <w:pPr>
        <w:pStyle w:val="Caption"/>
        <w:keepNext/>
        <w:spacing w:after="120"/>
        <w:jc w:val="center"/>
      </w:pPr>
      <w:bookmarkStart w:id="8" w:name="_Ref125996187"/>
      <w:r w:rsidRPr="00107242">
        <w:rPr>
          <w:noProof/>
        </w:rPr>
        <w:drawing>
          <wp:inline distT="0" distB="0" distL="0" distR="0" wp14:anchorId="132B8BBD" wp14:editId="7A44B1F4">
            <wp:extent cx="3444584" cy="3672840"/>
            <wp:effectExtent l="0" t="0" r="3810" b="3810"/>
            <wp:docPr id="710231969" name="Picture 71023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31969" name="Picture 710231969"/>
                    <pic:cNvPicPr/>
                  </pic:nvPicPr>
                  <pic:blipFill>
                    <a:blip r:embed="rId27">
                      <a:extLst>
                        <a:ext uri="{28A0092B-C50C-407E-A947-70E740481C1C}">
                          <a14:useLocalDpi xmlns:a14="http://schemas.microsoft.com/office/drawing/2010/main" val="0"/>
                        </a:ext>
                      </a:extLst>
                    </a:blip>
                    <a:stretch>
                      <a:fillRect/>
                    </a:stretch>
                  </pic:blipFill>
                  <pic:spPr>
                    <a:xfrm>
                      <a:off x="0" y="0"/>
                      <a:ext cx="3455229" cy="3684190"/>
                    </a:xfrm>
                    <a:prstGeom prst="rect">
                      <a:avLst/>
                    </a:prstGeom>
                  </pic:spPr>
                </pic:pic>
              </a:graphicData>
            </a:graphic>
          </wp:inline>
        </w:drawing>
      </w:r>
    </w:p>
    <w:p w14:paraId="71418EAF" w14:textId="7C24BE0B" w:rsidR="0038441B" w:rsidRPr="00997446" w:rsidRDefault="00563BB2" w:rsidP="00997446">
      <w:pPr>
        <w:rPr>
          <w:sz w:val="20"/>
          <w:szCs w:val="20"/>
        </w:rPr>
      </w:pPr>
      <w:r w:rsidRPr="00997446">
        <w:rPr>
          <w:sz w:val="20"/>
          <w:szCs w:val="20"/>
        </w:rPr>
        <w:t xml:space="preserve">Table </w:t>
      </w:r>
      <w:r w:rsidR="006D376F">
        <w:rPr>
          <w:sz w:val="20"/>
          <w:szCs w:val="20"/>
        </w:rPr>
        <w:fldChar w:fldCharType="begin"/>
      </w:r>
      <w:r w:rsidR="006D376F">
        <w:rPr>
          <w:sz w:val="20"/>
          <w:szCs w:val="20"/>
        </w:rPr>
        <w:instrText xml:space="preserve"> SEQ Table \* ARABIC </w:instrText>
      </w:r>
      <w:r w:rsidR="006D376F">
        <w:rPr>
          <w:sz w:val="20"/>
          <w:szCs w:val="20"/>
        </w:rPr>
        <w:fldChar w:fldCharType="separate"/>
      </w:r>
      <w:r w:rsidR="00F763F8">
        <w:rPr>
          <w:noProof/>
          <w:sz w:val="20"/>
          <w:szCs w:val="20"/>
        </w:rPr>
        <w:t>3</w:t>
      </w:r>
      <w:r w:rsidR="006D376F">
        <w:rPr>
          <w:sz w:val="20"/>
          <w:szCs w:val="20"/>
        </w:rPr>
        <w:fldChar w:fldCharType="end"/>
      </w:r>
      <w:r w:rsidRPr="00997446">
        <w:rPr>
          <w:sz w:val="20"/>
          <w:szCs w:val="20"/>
        </w:rPr>
        <w:t xml:space="preserve">: Regression of the </w:t>
      </w:r>
      <w:r w:rsidR="00997446">
        <w:rPr>
          <w:sz w:val="20"/>
          <w:szCs w:val="20"/>
        </w:rPr>
        <w:t>G</w:t>
      </w:r>
      <w:r w:rsidRPr="00997446">
        <w:rPr>
          <w:sz w:val="20"/>
          <w:szCs w:val="20"/>
        </w:rPr>
        <w:t xml:space="preserve">ini impact of </w:t>
      </w:r>
      <w:r w:rsidR="702E879E" w:rsidRPr="702E879E">
        <w:rPr>
          <w:sz w:val="20"/>
          <w:szCs w:val="20"/>
        </w:rPr>
        <w:t>equal per capita</w:t>
      </w:r>
      <w:r w:rsidR="004D475C">
        <w:rPr>
          <w:sz w:val="20"/>
          <w:szCs w:val="20"/>
        </w:rPr>
        <w:t xml:space="preserve"> </w:t>
      </w:r>
      <w:r w:rsidRPr="00997446">
        <w:rPr>
          <w:sz w:val="20"/>
          <w:szCs w:val="20"/>
        </w:rPr>
        <w:t>redistribution on carbon revenue per capita, model and region (</w:t>
      </w:r>
      <w:r w:rsidR="00DD3214">
        <w:rPr>
          <w:sz w:val="20"/>
          <w:szCs w:val="20"/>
        </w:rPr>
        <w:t>Paris</w:t>
      </w:r>
      <w:r w:rsidR="00DD3214" w:rsidRPr="00997446">
        <w:rPr>
          <w:sz w:val="20"/>
          <w:szCs w:val="20"/>
        </w:rPr>
        <w:t xml:space="preserve"> </w:t>
      </w:r>
      <w:r w:rsidRPr="00997446">
        <w:rPr>
          <w:sz w:val="20"/>
          <w:szCs w:val="20"/>
        </w:rPr>
        <w:t xml:space="preserve">to </w:t>
      </w:r>
      <w:r w:rsidR="00DD3214">
        <w:rPr>
          <w:sz w:val="20"/>
          <w:szCs w:val="20"/>
        </w:rPr>
        <w:t xml:space="preserve">Paris </w:t>
      </w:r>
      <w:r w:rsidRPr="00997446">
        <w:rPr>
          <w:sz w:val="20"/>
          <w:szCs w:val="20"/>
        </w:rPr>
        <w:t xml:space="preserve">with </w:t>
      </w:r>
      <w:r w:rsidR="702E879E" w:rsidRPr="702E879E">
        <w:rPr>
          <w:sz w:val="20"/>
          <w:szCs w:val="20"/>
        </w:rPr>
        <w:t>equal per capita</w:t>
      </w:r>
      <w:r w:rsidRPr="00997446">
        <w:rPr>
          <w:sz w:val="20"/>
          <w:szCs w:val="20"/>
        </w:rPr>
        <w:t xml:space="preserve"> </w:t>
      </w:r>
      <w:r w:rsidR="00DD3214">
        <w:rPr>
          <w:sz w:val="20"/>
          <w:szCs w:val="20"/>
        </w:rPr>
        <w:t xml:space="preserve">redistribution </w:t>
      </w:r>
      <w:r w:rsidRPr="00997446">
        <w:rPr>
          <w:sz w:val="20"/>
          <w:szCs w:val="20"/>
        </w:rPr>
        <w:t>scenario)</w:t>
      </w:r>
      <w:r w:rsidR="00762F2E">
        <w:rPr>
          <w:sz w:val="20"/>
          <w:szCs w:val="20"/>
        </w:rPr>
        <w:t>. The reference category is the AIM model.</w:t>
      </w:r>
    </w:p>
    <w:bookmarkEnd w:id="8"/>
    <w:p w14:paraId="0940D5C2" w14:textId="77777777" w:rsidR="00094718" w:rsidRPr="00107242" w:rsidRDefault="00094718" w:rsidP="00126E3E">
      <w:pPr>
        <w:spacing w:after="120"/>
      </w:pPr>
    </w:p>
    <w:p w14:paraId="536BAA38" w14:textId="77777777" w:rsidR="00563BB2" w:rsidRPr="00107242" w:rsidRDefault="008211B7" w:rsidP="00126E3E">
      <w:pPr>
        <w:keepNext/>
        <w:spacing w:after="120"/>
      </w:pPr>
      <w:r w:rsidRPr="00107242">
        <w:rPr>
          <w:noProof/>
        </w:rPr>
        <w:drawing>
          <wp:inline distT="0" distB="0" distL="0" distR="0" wp14:anchorId="668E43B4" wp14:editId="17D8CD46">
            <wp:extent cx="6143620" cy="2867022"/>
            <wp:effectExtent l="0" t="0" r="0" b="0"/>
            <wp:docPr id="1062021106" name="Picture 106202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21106" name="Picture 106202110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43620" cy="2867022"/>
                    </a:xfrm>
                    <a:prstGeom prst="rect">
                      <a:avLst/>
                    </a:prstGeom>
                  </pic:spPr>
                </pic:pic>
              </a:graphicData>
            </a:graphic>
          </wp:inline>
        </w:drawing>
      </w:r>
    </w:p>
    <w:p w14:paraId="71BCE199" w14:textId="4BCDAB95" w:rsidR="008211B7" w:rsidRPr="00997446" w:rsidRDefault="00563BB2" w:rsidP="00997446">
      <w:pPr>
        <w:rPr>
          <w:sz w:val="20"/>
          <w:szCs w:val="20"/>
        </w:rPr>
      </w:pPr>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17</w:t>
      </w:r>
      <w:r w:rsidRPr="00997446">
        <w:rPr>
          <w:sz w:val="20"/>
          <w:szCs w:val="20"/>
        </w:rPr>
        <w:fldChar w:fldCharType="end"/>
      </w:r>
      <w:r w:rsidRPr="00997446">
        <w:rPr>
          <w:sz w:val="20"/>
          <w:szCs w:val="20"/>
        </w:rPr>
        <w:t xml:space="preserve">: Gini index change [points] due to climate impacts between the </w:t>
      </w:r>
      <w:r w:rsidR="00DD3214">
        <w:rPr>
          <w:sz w:val="20"/>
          <w:szCs w:val="20"/>
        </w:rPr>
        <w:t>Paris</w:t>
      </w:r>
      <w:r w:rsidR="00DD3214" w:rsidRPr="00997446">
        <w:rPr>
          <w:sz w:val="20"/>
          <w:szCs w:val="20"/>
        </w:rPr>
        <w:t xml:space="preserve"> </w:t>
      </w:r>
      <w:r w:rsidRPr="00997446">
        <w:rPr>
          <w:sz w:val="20"/>
          <w:szCs w:val="20"/>
        </w:rPr>
        <w:t>and REF scenarios</w:t>
      </w:r>
    </w:p>
    <w:p w14:paraId="05E18174" w14:textId="77777777" w:rsidR="00DE6145" w:rsidRPr="00107242" w:rsidRDefault="00DE6145" w:rsidP="00126E3E">
      <w:pPr>
        <w:spacing w:after="120"/>
      </w:pPr>
    </w:p>
    <w:p w14:paraId="41F80C21" w14:textId="77777777" w:rsidR="00857188" w:rsidRPr="00107242" w:rsidRDefault="002F423A" w:rsidP="00126E3E">
      <w:pPr>
        <w:keepNext/>
        <w:spacing w:after="120"/>
        <w:jc w:val="both"/>
      </w:pPr>
      <w:r w:rsidRPr="00107242">
        <w:rPr>
          <w:noProof/>
        </w:rPr>
        <w:drawing>
          <wp:inline distT="0" distB="0" distL="0" distR="0" wp14:anchorId="3E7D07C5" wp14:editId="71BFAC56">
            <wp:extent cx="6276027" cy="2928812"/>
            <wp:effectExtent l="0" t="0" r="0" b="5080"/>
            <wp:docPr id="1476932823" name="Picture 147693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32823" name="Picture 14769328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76027" cy="2928812"/>
                    </a:xfrm>
                    <a:prstGeom prst="rect">
                      <a:avLst/>
                    </a:prstGeom>
                  </pic:spPr>
                </pic:pic>
              </a:graphicData>
            </a:graphic>
          </wp:inline>
        </w:drawing>
      </w:r>
    </w:p>
    <w:p w14:paraId="298E9912" w14:textId="060C9667" w:rsidR="002F423A" w:rsidRPr="00107242" w:rsidRDefault="00857188" w:rsidP="00997446">
      <w:bookmarkStart w:id="9" w:name="_Ref152758912"/>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18</w:t>
      </w:r>
      <w:r w:rsidRPr="00997446">
        <w:rPr>
          <w:sz w:val="20"/>
          <w:szCs w:val="20"/>
        </w:rPr>
        <w:fldChar w:fldCharType="end"/>
      </w:r>
      <w:bookmarkEnd w:id="9"/>
      <w:r w:rsidRPr="00997446">
        <w:rPr>
          <w:sz w:val="20"/>
          <w:szCs w:val="20"/>
        </w:rPr>
        <w:t>: Avoided impacts at the decile income level in 2100</w:t>
      </w:r>
    </w:p>
    <w:p w14:paraId="21E000E2" w14:textId="77777777" w:rsidR="002F423A" w:rsidRPr="00107242" w:rsidRDefault="002F423A" w:rsidP="00126E3E">
      <w:pPr>
        <w:spacing w:after="120"/>
      </w:pPr>
    </w:p>
    <w:p w14:paraId="690C8B9D" w14:textId="77777777" w:rsidR="0098139F" w:rsidRPr="00107242" w:rsidRDefault="00E17029" w:rsidP="00126E3E">
      <w:pPr>
        <w:keepNext/>
        <w:spacing w:after="120"/>
        <w:jc w:val="center"/>
      </w:pPr>
      <w:r w:rsidRPr="00107242">
        <w:rPr>
          <w:noProof/>
        </w:rPr>
        <w:lastRenderedPageBreak/>
        <w:drawing>
          <wp:inline distT="0" distB="0" distL="0" distR="0" wp14:anchorId="6CFD6F7A" wp14:editId="384DF418">
            <wp:extent cx="2521435" cy="2255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0">
                      <a:extLst>
                        <a:ext uri="{28A0092B-C50C-407E-A947-70E740481C1C}">
                          <a14:useLocalDpi xmlns:a14="http://schemas.microsoft.com/office/drawing/2010/main" val="0"/>
                        </a:ext>
                      </a:extLst>
                    </a:blip>
                    <a:stretch>
                      <a:fillRect/>
                    </a:stretch>
                  </pic:blipFill>
                  <pic:spPr>
                    <a:xfrm>
                      <a:off x="0" y="0"/>
                      <a:ext cx="2528312" cy="2261672"/>
                    </a:xfrm>
                    <a:prstGeom prst="rect">
                      <a:avLst/>
                    </a:prstGeom>
                  </pic:spPr>
                </pic:pic>
              </a:graphicData>
            </a:graphic>
          </wp:inline>
        </w:drawing>
      </w:r>
    </w:p>
    <w:p w14:paraId="0CE94765" w14:textId="535AC557" w:rsidR="00E17029" w:rsidRPr="00997446" w:rsidRDefault="0098139F" w:rsidP="00997446">
      <w:pPr>
        <w:rPr>
          <w:sz w:val="20"/>
          <w:szCs w:val="20"/>
        </w:rPr>
      </w:pPr>
      <w:r w:rsidRPr="00997446">
        <w:rPr>
          <w:sz w:val="20"/>
          <w:szCs w:val="20"/>
        </w:rPr>
        <w:t xml:space="preserve">Table </w:t>
      </w:r>
      <w:r w:rsidR="006D376F">
        <w:rPr>
          <w:sz w:val="20"/>
          <w:szCs w:val="20"/>
        </w:rPr>
        <w:fldChar w:fldCharType="begin"/>
      </w:r>
      <w:r w:rsidR="006D376F">
        <w:rPr>
          <w:sz w:val="20"/>
          <w:szCs w:val="20"/>
        </w:rPr>
        <w:instrText xml:space="preserve"> SEQ Table \* ARABIC </w:instrText>
      </w:r>
      <w:r w:rsidR="006D376F">
        <w:rPr>
          <w:sz w:val="20"/>
          <w:szCs w:val="20"/>
        </w:rPr>
        <w:fldChar w:fldCharType="separate"/>
      </w:r>
      <w:r w:rsidR="00F763F8">
        <w:rPr>
          <w:noProof/>
          <w:sz w:val="20"/>
          <w:szCs w:val="20"/>
        </w:rPr>
        <w:t>4</w:t>
      </w:r>
      <w:r w:rsidR="006D376F">
        <w:rPr>
          <w:sz w:val="20"/>
          <w:szCs w:val="20"/>
        </w:rPr>
        <w:fldChar w:fldCharType="end"/>
      </w:r>
      <w:r w:rsidRPr="00997446">
        <w:rPr>
          <w:sz w:val="20"/>
          <w:szCs w:val="20"/>
        </w:rPr>
        <w:t>: Regression of the Gini impact of climate impacts on the change in country-level temperature and model (ref to ref with impacts)</w:t>
      </w:r>
      <w:r w:rsidR="00762F2E">
        <w:rPr>
          <w:sz w:val="20"/>
          <w:szCs w:val="20"/>
        </w:rPr>
        <w:t>. The reference category is</w:t>
      </w:r>
      <w:r w:rsidR="00D503CE">
        <w:rPr>
          <w:sz w:val="20"/>
          <w:szCs w:val="20"/>
        </w:rPr>
        <w:t xml:space="preserve"> the AIM model.</w:t>
      </w:r>
    </w:p>
    <w:p w14:paraId="169C800E" w14:textId="77777777" w:rsidR="00E17029" w:rsidRPr="00107242" w:rsidRDefault="00E17029" w:rsidP="00126E3E">
      <w:pPr>
        <w:spacing w:after="120"/>
      </w:pPr>
    </w:p>
    <w:p w14:paraId="40CB44DE" w14:textId="77777777" w:rsidR="00193305" w:rsidRPr="00107242" w:rsidRDefault="00206861" w:rsidP="00126E3E">
      <w:pPr>
        <w:keepNext/>
        <w:spacing w:after="120"/>
        <w:ind w:right="140"/>
      </w:pPr>
      <w:r w:rsidRPr="00107242">
        <w:rPr>
          <w:noProof/>
        </w:rPr>
        <w:drawing>
          <wp:inline distT="0" distB="0" distL="0" distR="0" wp14:anchorId="1BC20357" wp14:editId="5C9F929C">
            <wp:extent cx="6100761" cy="4067173"/>
            <wp:effectExtent l="0" t="0" r="0" b="0"/>
            <wp:docPr id="1623750121" name="Picture 162375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50121" name="Picture 162375012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00761" cy="4067173"/>
                    </a:xfrm>
                    <a:prstGeom prst="rect">
                      <a:avLst/>
                    </a:prstGeom>
                  </pic:spPr>
                </pic:pic>
              </a:graphicData>
            </a:graphic>
          </wp:inline>
        </w:drawing>
      </w:r>
    </w:p>
    <w:p w14:paraId="61EE60B4" w14:textId="3CCFCB65" w:rsidR="00206861" w:rsidRPr="00997446" w:rsidRDefault="00193305" w:rsidP="00997446">
      <w:pPr>
        <w:rPr>
          <w:sz w:val="20"/>
          <w:szCs w:val="20"/>
        </w:rPr>
      </w:pPr>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19</w:t>
      </w:r>
      <w:r w:rsidRPr="00997446">
        <w:rPr>
          <w:sz w:val="20"/>
          <w:szCs w:val="20"/>
        </w:rPr>
        <w:fldChar w:fldCharType="end"/>
      </w:r>
      <w:r w:rsidRPr="00997446">
        <w:rPr>
          <w:sz w:val="20"/>
          <w:szCs w:val="20"/>
        </w:rPr>
        <w:t>: Global emissions and temperature change</w:t>
      </w:r>
    </w:p>
    <w:p w14:paraId="3DE4114A" w14:textId="2C43A2E8" w:rsidR="00B27838" w:rsidRPr="00107242" w:rsidRDefault="00B27838" w:rsidP="00126E3E">
      <w:pPr>
        <w:spacing w:after="120"/>
      </w:pPr>
    </w:p>
    <w:p w14:paraId="46D406BD" w14:textId="77777777" w:rsidR="00BB3A6C" w:rsidRPr="00107242" w:rsidRDefault="00E76628" w:rsidP="00126E3E">
      <w:pPr>
        <w:keepNext/>
        <w:spacing w:after="120"/>
      </w:pPr>
      <w:r w:rsidRPr="00107242">
        <w:rPr>
          <w:noProof/>
        </w:rPr>
        <w:lastRenderedPageBreak/>
        <w:drawing>
          <wp:inline distT="0" distB="0" distL="0" distR="0" wp14:anchorId="50648D57" wp14:editId="766B6A7F">
            <wp:extent cx="6120128" cy="2856060"/>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128" cy="2856060"/>
                    </a:xfrm>
                    <a:prstGeom prst="rect">
                      <a:avLst/>
                    </a:prstGeom>
                  </pic:spPr>
                </pic:pic>
              </a:graphicData>
            </a:graphic>
          </wp:inline>
        </w:drawing>
      </w:r>
    </w:p>
    <w:p w14:paraId="5E572BF7" w14:textId="261B61FF" w:rsidR="00E76628" w:rsidRPr="00997446" w:rsidRDefault="00BB3A6C" w:rsidP="00997446">
      <w:pPr>
        <w:rPr>
          <w:sz w:val="20"/>
          <w:szCs w:val="20"/>
        </w:rPr>
      </w:pPr>
      <w:r w:rsidRPr="00997446">
        <w:rPr>
          <w:sz w:val="20"/>
          <w:szCs w:val="20"/>
        </w:rPr>
        <w:t xml:space="preserve">Figure </w:t>
      </w:r>
      <w:r w:rsidRPr="00997446">
        <w:rPr>
          <w:sz w:val="20"/>
          <w:szCs w:val="20"/>
        </w:rPr>
        <w:fldChar w:fldCharType="begin"/>
      </w:r>
      <w:r w:rsidRPr="00997446">
        <w:rPr>
          <w:sz w:val="20"/>
          <w:szCs w:val="20"/>
        </w:rPr>
        <w:instrText xml:space="preserve"> SEQ Figure \* ARABIC </w:instrText>
      </w:r>
      <w:r w:rsidRPr="00997446">
        <w:rPr>
          <w:sz w:val="20"/>
          <w:szCs w:val="20"/>
        </w:rPr>
        <w:fldChar w:fldCharType="separate"/>
      </w:r>
      <w:r w:rsidR="00F763F8">
        <w:rPr>
          <w:noProof/>
          <w:sz w:val="20"/>
          <w:szCs w:val="20"/>
        </w:rPr>
        <w:t>20</w:t>
      </w:r>
      <w:r w:rsidRPr="00997446">
        <w:rPr>
          <w:sz w:val="20"/>
          <w:szCs w:val="20"/>
        </w:rPr>
        <w:fldChar w:fldCharType="end"/>
      </w:r>
      <w:r w:rsidRPr="00997446">
        <w:rPr>
          <w:sz w:val="20"/>
          <w:szCs w:val="20"/>
        </w:rPr>
        <w:t>: Aggregated impacts on the Gini index based on decile-based damage functions</w:t>
      </w:r>
    </w:p>
    <w:p w14:paraId="3C37A58B" w14:textId="77777777" w:rsidR="00184597" w:rsidRPr="00107242" w:rsidRDefault="00184597" w:rsidP="00126E3E">
      <w:pPr>
        <w:spacing w:after="120"/>
      </w:pPr>
    </w:p>
    <w:sectPr w:rsidR="00184597" w:rsidRPr="00107242" w:rsidSect="00A42681">
      <w:headerReference w:type="even" r:id="rId33"/>
      <w:headerReference w:type="default" r:id="rId34"/>
      <w:footerReference w:type="even" r:id="rId35"/>
      <w:footerReference w:type="default" r:id="rId36"/>
      <w:headerReference w:type="first" r:id="rId37"/>
      <w:footerReference w:type="first" r:id="rId38"/>
      <w:pgSz w:w="11906" w:h="16838"/>
      <w:pgMar w:top="992"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97AC5" w14:textId="77777777" w:rsidR="00C159D5" w:rsidRDefault="00C159D5" w:rsidP="00D473FD">
      <w:r>
        <w:separator/>
      </w:r>
    </w:p>
  </w:endnote>
  <w:endnote w:type="continuationSeparator" w:id="0">
    <w:p w14:paraId="32B5C722" w14:textId="77777777" w:rsidR="00C159D5" w:rsidRDefault="00C159D5" w:rsidP="00D473FD">
      <w:r>
        <w:continuationSeparator/>
      </w:r>
    </w:p>
  </w:endnote>
  <w:endnote w:type="continuationNotice" w:id="1">
    <w:p w14:paraId="17BC1764" w14:textId="77777777" w:rsidR="00C159D5" w:rsidRDefault="00C15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6464" w14:textId="77777777" w:rsidR="00DB2E80" w:rsidRDefault="00DB2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698485"/>
      <w:docPartObj>
        <w:docPartGallery w:val="Page Numbers (Bottom of Page)"/>
        <w:docPartUnique/>
      </w:docPartObj>
    </w:sdtPr>
    <w:sdtEndPr>
      <w:rPr>
        <w:noProof/>
      </w:rPr>
    </w:sdtEndPr>
    <w:sdtContent>
      <w:p w14:paraId="1D1DFB5D" w14:textId="5C445766" w:rsidR="008213CB" w:rsidRDefault="008213CB" w:rsidP="00DB2E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CC41B1" w14:textId="68D8B34C" w:rsidR="00FC0CB8" w:rsidRDefault="00FC0CB8" w:rsidP="00AE06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DBEF" w14:textId="77777777" w:rsidR="00DB2E80" w:rsidRDefault="00DB2E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2A098" w14:textId="77777777" w:rsidR="00C159D5" w:rsidRDefault="00C159D5" w:rsidP="00D473FD">
      <w:r>
        <w:separator/>
      </w:r>
    </w:p>
  </w:footnote>
  <w:footnote w:type="continuationSeparator" w:id="0">
    <w:p w14:paraId="2868DE3B" w14:textId="77777777" w:rsidR="00C159D5" w:rsidRDefault="00C159D5" w:rsidP="00D473FD">
      <w:r>
        <w:continuationSeparator/>
      </w:r>
    </w:p>
  </w:footnote>
  <w:footnote w:type="continuationNotice" w:id="1">
    <w:p w14:paraId="72302D76" w14:textId="77777777" w:rsidR="00C159D5" w:rsidRDefault="00C159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397A" w14:textId="77777777" w:rsidR="00DB2E80" w:rsidRDefault="00DB2E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43D54918" w14:paraId="357E1A39" w14:textId="77777777" w:rsidTr="00153E4D">
      <w:trPr>
        <w:trHeight w:val="300"/>
      </w:trPr>
      <w:tc>
        <w:tcPr>
          <w:tcW w:w="3210" w:type="dxa"/>
        </w:tcPr>
        <w:p w14:paraId="345109AD" w14:textId="4C6AD0A7" w:rsidR="43D54918" w:rsidRDefault="43D54918" w:rsidP="00153E4D">
          <w:pPr>
            <w:pStyle w:val="Header"/>
            <w:ind w:left="-115"/>
          </w:pPr>
        </w:p>
      </w:tc>
      <w:tc>
        <w:tcPr>
          <w:tcW w:w="3210" w:type="dxa"/>
        </w:tcPr>
        <w:p w14:paraId="31F89C58" w14:textId="7886BEF5" w:rsidR="43D54918" w:rsidRDefault="43D54918" w:rsidP="00153E4D">
          <w:pPr>
            <w:pStyle w:val="Header"/>
            <w:jc w:val="center"/>
          </w:pPr>
        </w:p>
      </w:tc>
      <w:tc>
        <w:tcPr>
          <w:tcW w:w="3210" w:type="dxa"/>
        </w:tcPr>
        <w:p w14:paraId="7FE3664C" w14:textId="2F84681F" w:rsidR="43D54918" w:rsidRDefault="43D54918" w:rsidP="00153E4D">
          <w:pPr>
            <w:pStyle w:val="Header"/>
            <w:ind w:right="-115"/>
            <w:jc w:val="right"/>
          </w:pPr>
        </w:p>
      </w:tc>
    </w:tr>
  </w:tbl>
  <w:p w14:paraId="2AF7A9CD" w14:textId="443B4674" w:rsidR="00FC0CB8" w:rsidRDefault="00FC0CB8" w:rsidP="00AE06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3795" w14:textId="77777777" w:rsidR="00DB2E80" w:rsidRDefault="00DB2E80">
    <w:pPr>
      <w:pStyle w:val="Header"/>
    </w:pPr>
  </w:p>
</w:hdr>
</file>

<file path=word/intelligence2.xml><?xml version="1.0" encoding="utf-8"?>
<int2:intelligence xmlns:int2="http://schemas.microsoft.com/office/intelligence/2020/intelligence" xmlns:oel="http://schemas.microsoft.com/office/2019/extlst">
  <int2:observations>
    <int2:textHash int2:hashCode="9VgkHaahIF/Vwn" int2:id="FXsB9w24">
      <int2:state int2:value="Rejected" int2:type="AugLoop_Text_Critique"/>
    </int2:textHash>
    <int2:textHash int2:hashCode="vcv0nM3PlKyVlo" int2:id="dvDFJi9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5AC1"/>
    <w:multiLevelType w:val="hybridMultilevel"/>
    <w:tmpl w:val="5E788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56E06"/>
    <w:multiLevelType w:val="hybridMultilevel"/>
    <w:tmpl w:val="0B68E2AC"/>
    <w:lvl w:ilvl="0" w:tplc="65DC2D4C">
      <w:start w:val="3"/>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EC4ABA"/>
    <w:multiLevelType w:val="hybridMultilevel"/>
    <w:tmpl w:val="FFFFFFFF"/>
    <w:lvl w:ilvl="0" w:tplc="9DE600E2">
      <w:start w:val="1"/>
      <w:numFmt w:val="bullet"/>
      <w:lvlText w:val=""/>
      <w:lvlJc w:val="left"/>
      <w:pPr>
        <w:ind w:left="720" w:hanging="360"/>
      </w:pPr>
      <w:rPr>
        <w:rFonts w:ascii="Wingdings" w:hAnsi="Wingdings" w:hint="default"/>
      </w:rPr>
    </w:lvl>
    <w:lvl w:ilvl="1" w:tplc="5E30C860">
      <w:start w:val="1"/>
      <w:numFmt w:val="bullet"/>
      <w:lvlText w:val="o"/>
      <w:lvlJc w:val="left"/>
      <w:pPr>
        <w:ind w:left="1440" w:hanging="360"/>
      </w:pPr>
      <w:rPr>
        <w:rFonts w:ascii="Courier New" w:hAnsi="Courier New" w:hint="default"/>
      </w:rPr>
    </w:lvl>
    <w:lvl w:ilvl="2" w:tplc="9FFE6D12">
      <w:start w:val="1"/>
      <w:numFmt w:val="bullet"/>
      <w:lvlText w:val=""/>
      <w:lvlJc w:val="left"/>
      <w:pPr>
        <w:ind w:left="2160" w:hanging="360"/>
      </w:pPr>
      <w:rPr>
        <w:rFonts w:ascii="Wingdings" w:hAnsi="Wingdings" w:hint="default"/>
      </w:rPr>
    </w:lvl>
    <w:lvl w:ilvl="3" w:tplc="CE8A0D38">
      <w:start w:val="1"/>
      <w:numFmt w:val="bullet"/>
      <w:lvlText w:val=""/>
      <w:lvlJc w:val="left"/>
      <w:pPr>
        <w:ind w:left="2880" w:hanging="360"/>
      </w:pPr>
      <w:rPr>
        <w:rFonts w:ascii="Symbol" w:hAnsi="Symbol" w:hint="default"/>
      </w:rPr>
    </w:lvl>
    <w:lvl w:ilvl="4" w:tplc="7BA83D2C">
      <w:start w:val="1"/>
      <w:numFmt w:val="bullet"/>
      <w:lvlText w:val="o"/>
      <w:lvlJc w:val="left"/>
      <w:pPr>
        <w:ind w:left="3600" w:hanging="360"/>
      </w:pPr>
      <w:rPr>
        <w:rFonts w:ascii="Courier New" w:hAnsi="Courier New" w:hint="default"/>
      </w:rPr>
    </w:lvl>
    <w:lvl w:ilvl="5" w:tplc="195C37B4">
      <w:start w:val="1"/>
      <w:numFmt w:val="bullet"/>
      <w:lvlText w:val=""/>
      <w:lvlJc w:val="left"/>
      <w:pPr>
        <w:ind w:left="4320" w:hanging="360"/>
      </w:pPr>
      <w:rPr>
        <w:rFonts w:ascii="Wingdings" w:hAnsi="Wingdings" w:hint="default"/>
      </w:rPr>
    </w:lvl>
    <w:lvl w:ilvl="6" w:tplc="812C1508">
      <w:start w:val="1"/>
      <w:numFmt w:val="bullet"/>
      <w:lvlText w:val=""/>
      <w:lvlJc w:val="left"/>
      <w:pPr>
        <w:ind w:left="5040" w:hanging="360"/>
      </w:pPr>
      <w:rPr>
        <w:rFonts w:ascii="Symbol" w:hAnsi="Symbol" w:hint="default"/>
      </w:rPr>
    </w:lvl>
    <w:lvl w:ilvl="7" w:tplc="21E81C08">
      <w:start w:val="1"/>
      <w:numFmt w:val="bullet"/>
      <w:lvlText w:val="o"/>
      <w:lvlJc w:val="left"/>
      <w:pPr>
        <w:ind w:left="5760" w:hanging="360"/>
      </w:pPr>
      <w:rPr>
        <w:rFonts w:ascii="Courier New" w:hAnsi="Courier New" w:hint="default"/>
      </w:rPr>
    </w:lvl>
    <w:lvl w:ilvl="8" w:tplc="CC240BD6">
      <w:start w:val="1"/>
      <w:numFmt w:val="bullet"/>
      <w:lvlText w:val=""/>
      <w:lvlJc w:val="left"/>
      <w:pPr>
        <w:ind w:left="6480" w:hanging="360"/>
      </w:pPr>
      <w:rPr>
        <w:rFonts w:ascii="Wingdings" w:hAnsi="Wingdings" w:hint="default"/>
      </w:rPr>
    </w:lvl>
  </w:abstractNum>
  <w:abstractNum w:abstractNumId="3" w15:restartNumberingAfterBreak="0">
    <w:nsid w:val="23907138"/>
    <w:multiLevelType w:val="hybridMultilevel"/>
    <w:tmpl w:val="8D28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B10FA"/>
    <w:multiLevelType w:val="hybridMultilevel"/>
    <w:tmpl w:val="5CB4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B649BF"/>
    <w:multiLevelType w:val="hybridMultilevel"/>
    <w:tmpl w:val="B224A3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B409E8"/>
    <w:multiLevelType w:val="hybridMultilevel"/>
    <w:tmpl w:val="62001D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435647"/>
    <w:multiLevelType w:val="hybridMultilevel"/>
    <w:tmpl w:val="74E4CA1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6C4E4C76"/>
    <w:multiLevelType w:val="hybridMultilevel"/>
    <w:tmpl w:val="386E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AA43E7"/>
    <w:multiLevelType w:val="hybridMultilevel"/>
    <w:tmpl w:val="54F6C1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30039529">
    <w:abstractNumId w:val="6"/>
  </w:num>
  <w:num w:numId="2" w16cid:durableId="2067334049">
    <w:abstractNumId w:val="5"/>
  </w:num>
  <w:num w:numId="3" w16cid:durableId="1235051130">
    <w:abstractNumId w:val="0"/>
  </w:num>
  <w:num w:numId="4" w16cid:durableId="381366913">
    <w:abstractNumId w:val="7"/>
  </w:num>
  <w:num w:numId="5" w16cid:durableId="338429284">
    <w:abstractNumId w:val="9"/>
  </w:num>
  <w:num w:numId="6" w16cid:durableId="1211454081">
    <w:abstractNumId w:val="8"/>
  </w:num>
  <w:num w:numId="7" w16cid:durableId="328563767">
    <w:abstractNumId w:val="3"/>
  </w:num>
  <w:num w:numId="8" w16cid:durableId="1229539967">
    <w:abstractNumId w:val="1"/>
  </w:num>
  <w:num w:numId="9" w16cid:durableId="399056722">
    <w:abstractNumId w:val="4"/>
  </w:num>
  <w:num w:numId="10" w16cid:durableId="1464420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C0NjcwsDSxNjM1NDQyUdpeDU4uLM/DyQAmPTWgBAUHnNLQAAAA=="/>
  </w:docVars>
  <w:rsids>
    <w:rsidRoot w:val="005F2C1E"/>
    <w:rsid w:val="00000A02"/>
    <w:rsid w:val="000020BF"/>
    <w:rsid w:val="00002B5F"/>
    <w:rsid w:val="00003333"/>
    <w:rsid w:val="00003FBF"/>
    <w:rsid w:val="00005C58"/>
    <w:rsid w:val="00006024"/>
    <w:rsid w:val="00006AAC"/>
    <w:rsid w:val="00012566"/>
    <w:rsid w:val="0001347F"/>
    <w:rsid w:val="00013C26"/>
    <w:rsid w:val="00015F48"/>
    <w:rsid w:val="00016D2A"/>
    <w:rsid w:val="00017568"/>
    <w:rsid w:val="0002065F"/>
    <w:rsid w:val="00020826"/>
    <w:rsid w:val="000215D1"/>
    <w:rsid w:val="00021C94"/>
    <w:rsid w:val="00024ECB"/>
    <w:rsid w:val="00024F67"/>
    <w:rsid w:val="00024FE8"/>
    <w:rsid w:val="0002550B"/>
    <w:rsid w:val="00026C7F"/>
    <w:rsid w:val="000311FB"/>
    <w:rsid w:val="00031A99"/>
    <w:rsid w:val="000320FD"/>
    <w:rsid w:val="00035620"/>
    <w:rsid w:val="00035943"/>
    <w:rsid w:val="00036D57"/>
    <w:rsid w:val="00037804"/>
    <w:rsid w:val="000401E2"/>
    <w:rsid w:val="00040B26"/>
    <w:rsid w:val="00042123"/>
    <w:rsid w:val="00044890"/>
    <w:rsid w:val="00045F28"/>
    <w:rsid w:val="00047C0E"/>
    <w:rsid w:val="00050ED4"/>
    <w:rsid w:val="00051A05"/>
    <w:rsid w:val="00052117"/>
    <w:rsid w:val="00052CCF"/>
    <w:rsid w:val="00055446"/>
    <w:rsid w:val="00056F12"/>
    <w:rsid w:val="0005783C"/>
    <w:rsid w:val="00057869"/>
    <w:rsid w:val="00060D9D"/>
    <w:rsid w:val="000617E8"/>
    <w:rsid w:val="000620E6"/>
    <w:rsid w:val="00062817"/>
    <w:rsid w:val="000648B2"/>
    <w:rsid w:val="00064E92"/>
    <w:rsid w:val="00065964"/>
    <w:rsid w:val="0006629C"/>
    <w:rsid w:val="000672DA"/>
    <w:rsid w:val="000741E8"/>
    <w:rsid w:val="000748CD"/>
    <w:rsid w:val="00074EAD"/>
    <w:rsid w:val="0007733B"/>
    <w:rsid w:val="00077855"/>
    <w:rsid w:val="00077A87"/>
    <w:rsid w:val="000808DA"/>
    <w:rsid w:val="000828B5"/>
    <w:rsid w:val="00092C50"/>
    <w:rsid w:val="0009444A"/>
    <w:rsid w:val="00094718"/>
    <w:rsid w:val="00097DA1"/>
    <w:rsid w:val="000A1611"/>
    <w:rsid w:val="000A1C25"/>
    <w:rsid w:val="000A1DF4"/>
    <w:rsid w:val="000A3177"/>
    <w:rsid w:val="000A48CF"/>
    <w:rsid w:val="000A5AF5"/>
    <w:rsid w:val="000A7ADA"/>
    <w:rsid w:val="000A7EC0"/>
    <w:rsid w:val="000B17C1"/>
    <w:rsid w:val="000B1C31"/>
    <w:rsid w:val="000B2529"/>
    <w:rsid w:val="000B3A66"/>
    <w:rsid w:val="000B418A"/>
    <w:rsid w:val="000B7ABD"/>
    <w:rsid w:val="000C1629"/>
    <w:rsid w:val="000C3782"/>
    <w:rsid w:val="000C4DA1"/>
    <w:rsid w:val="000C791D"/>
    <w:rsid w:val="000C7A0A"/>
    <w:rsid w:val="000D7C96"/>
    <w:rsid w:val="000D7F6B"/>
    <w:rsid w:val="000E30B7"/>
    <w:rsid w:val="000E5904"/>
    <w:rsid w:val="000E6DA1"/>
    <w:rsid w:val="000E75FA"/>
    <w:rsid w:val="000F0DA3"/>
    <w:rsid w:val="000F2174"/>
    <w:rsid w:val="000F3495"/>
    <w:rsid w:val="000F5D3C"/>
    <w:rsid w:val="00100076"/>
    <w:rsid w:val="00100E35"/>
    <w:rsid w:val="00101585"/>
    <w:rsid w:val="00101632"/>
    <w:rsid w:val="001032D2"/>
    <w:rsid w:val="00103E38"/>
    <w:rsid w:val="00105C1F"/>
    <w:rsid w:val="001061A9"/>
    <w:rsid w:val="001071AB"/>
    <w:rsid w:val="00107242"/>
    <w:rsid w:val="00107D62"/>
    <w:rsid w:val="001104D7"/>
    <w:rsid w:val="00111F5D"/>
    <w:rsid w:val="00113EBF"/>
    <w:rsid w:val="00114216"/>
    <w:rsid w:val="00115076"/>
    <w:rsid w:val="0011570D"/>
    <w:rsid w:val="001171FE"/>
    <w:rsid w:val="00117258"/>
    <w:rsid w:val="00117B59"/>
    <w:rsid w:val="00117D40"/>
    <w:rsid w:val="00120769"/>
    <w:rsid w:val="001218CA"/>
    <w:rsid w:val="00122814"/>
    <w:rsid w:val="00122F10"/>
    <w:rsid w:val="00123A28"/>
    <w:rsid w:val="0012584A"/>
    <w:rsid w:val="00126E3E"/>
    <w:rsid w:val="0012743E"/>
    <w:rsid w:val="00132151"/>
    <w:rsid w:val="001334D0"/>
    <w:rsid w:val="00133D22"/>
    <w:rsid w:val="001355BB"/>
    <w:rsid w:val="001369F8"/>
    <w:rsid w:val="001370EF"/>
    <w:rsid w:val="0013731B"/>
    <w:rsid w:val="0014210C"/>
    <w:rsid w:val="00143358"/>
    <w:rsid w:val="00146D5B"/>
    <w:rsid w:val="00147E44"/>
    <w:rsid w:val="00151129"/>
    <w:rsid w:val="00151386"/>
    <w:rsid w:val="001514B3"/>
    <w:rsid w:val="0015151A"/>
    <w:rsid w:val="00153E4D"/>
    <w:rsid w:val="001542B6"/>
    <w:rsid w:val="0015603E"/>
    <w:rsid w:val="001573B2"/>
    <w:rsid w:val="0015753D"/>
    <w:rsid w:val="001622A1"/>
    <w:rsid w:val="0016256B"/>
    <w:rsid w:val="00162EA0"/>
    <w:rsid w:val="0016344D"/>
    <w:rsid w:val="001636C9"/>
    <w:rsid w:val="00164320"/>
    <w:rsid w:val="0016510B"/>
    <w:rsid w:val="001661A7"/>
    <w:rsid w:val="00166A37"/>
    <w:rsid w:val="001678ED"/>
    <w:rsid w:val="00177A10"/>
    <w:rsid w:val="00180355"/>
    <w:rsid w:val="00181641"/>
    <w:rsid w:val="001817F7"/>
    <w:rsid w:val="00182403"/>
    <w:rsid w:val="00183495"/>
    <w:rsid w:val="00184597"/>
    <w:rsid w:val="00187DEA"/>
    <w:rsid w:val="00190DE1"/>
    <w:rsid w:val="00191AE7"/>
    <w:rsid w:val="00193305"/>
    <w:rsid w:val="0019603B"/>
    <w:rsid w:val="00196E00"/>
    <w:rsid w:val="00196E62"/>
    <w:rsid w:val="001974C1"/>
    <w:rsid w:val="00197EAA"/>
    <w:rsid w:val="001A092A"/>
    <w:rsid w:val="001A12B3"/>
    <w:rsid w:val="001A418A"/>
    <w:rsid w:val="001A494B"/>
    <w:rsid w:val="001A55D1"/>
    <w:rsid w:val="001B0B30"/>
    <w:rsid w:val="001B159B"/>
    <w:rsid w:val="001B1BEE"/>
    <w:rsid w:val="001B3675"/>
    <w:rsid w:val="001B4ABB"/>
    <w:rsid w:val="001B6130"/>
    <w:rsid w:val="001B6BBC"/>
    <w:rsid w:val="001B6CA8"/>
    <w:rsid w:val="001C15C6"/>
    <w:rsid w:val="001C309D"/>
    <w:rsid w:val="001C3944"/>
    <w:rsid w:val="001C3DC7"/>
    <w:rsid w:val="001C4515"/>
    <w:rsid w:val="001C552E"/>
    <w:rsid w:val="001C59DA"/>
    <w:rsid w:val="001D155A"/>
    <w:rsid w:val="001D15AB"/>
    <w:rsid w:val="001D2C16"/>
    <w:rsid w:val="001D2F88"/>
    <w:rsid w:val="001D4DDD"/>
    <w:rsid w:val="001D550D"/>
    <w:rsid w:val="001E0C4A"/>
    <w:rsid w:val="001E1274"/>
    <w:rsid w:val="001E2844"/>
    <w:rsid w:val="001E3393"/>
    <w:rsid w:val="001E5148"/>
    <w:rsid w:val="001E6D39"/>
    <w:rsid w:val="001F0EA8"/>
    <w:rsid w:val="001F1CC5"/>
    <w:rsid w:val="001F22F2"/>
    <w:rsid w:val="001F28D0"/>
    <w:rsid w:val="001F31AE"/>
    <w:rsid w:val="001F4A52"/>
    <w:rsid w:val="001F516C"/>
    <w:rsid w:val="001F5725"/>
    <w:rsid w:val="0020084D"/>
    <w:rsid w:val="00201F39"/>
    <w:rsid w:val="00205A7A"/>
    <w:rsid w:val="00206166"/>
    <w:rsid w:val="00206861"/>
    <w:rsid w:val="00206966"/>
    <w:rsid w:val="0020799C"/>
    <w:rsid w:val="00207CE8"/>
    <w:rsid w:val="0021083A"/>
    <w:rsid w:val="00210DB4"/>
    <w:rsid w:val="00211672"/>
    <w:rsid w:val="00215E94"/>
    <w:rsid w:val="00216428"/>
    <w:rsid w:val="00217DBD"/>
    <w:rsid w:val="0022199B"/>
    <w:rsid w:val="00222AB3"/>
    <w:rsid w:val="0022318F"/>
    <w:rsid w:val="00224471"/>
    <w:rsid w:val="00226173"/>
    <w:rsid w:val="002328D5"/>
    <w:rsid w:val="002328E3"/>
    <w:rsid w:val="002364AB"/>
    <w:rsid w:val="00237F52"/>
    <w:rsid w:val="00241412"/>
    <w:rsid w:val="00241DFF"/>
    <w:rsid w:val="00244C36"/>
    <w:rsid w:val="00244CB8"/>
    <w:rsid w:val="00244CC4"/>
    <w:rsid w:val="0024608B"/>
    <w:rsid w:val="0024713B"/>
    <w:rsid w:val="00252102"/>
    <w:rsid w:val="00252583"/>
    <w:rsid w:val="00257548"/>
    <w:rsid w:val="002577A1"/>
    <w:rsid w:val="002608AF"/>
    <w:rsid w:val="00261079"/>
    <w:rsid w:val="00263C04"/>
    <w:rsid w:val="0026565A"/>
    <w:rsid w:val="002741D2"/>
    <w:rsid w:val="002748E7"/>
    <w:rsid w:val="0027650B"/>
    <w:rsid w:val="002779D3"/>
    <w:rsid w:val="002823A6"/>
    <w:rsid w:val="00282F5D"/>
    <w:rsid w:val="0028316E"/>
    <w:rsid w:val="00283A8A"/>
    <w:rsid w:val="00284A03"/>
    <w:rsid w:val="00285171"/>
    <w:rsid w:val="00285D54"/>
    <w:rsid w:val="0028609D"/>
    <w:rsid w:val="002917AA"/>
    <w:rsid w:val="00295107"/>
    <w:rsid w:val="00295E69"/>
    <w:rsid w:val="00296929"/>
    <w:rsid w:val="00297133"/>
    <w:rsid w:val="002A06DB"/>
    <w:rsid w:val="002A0D7D"/>
    <w:rsid w:val="002A1DB6"/>
    <w:rsid w:val="002A47C0"/>
    <w:rsid w:val="002A5176"/>
    <w:rsid w:val="002A51EF"/>
    <w:rsid w:val="002A56E5"/>
    <w:rsid w:val="002A5B33"/>
    <w:rsid w:val="002B0374"/>
    <w:rsid w:val="002B1816"/>
    <w:rsid w:val="002B52C4"/>
    <w:rsid w:val="002B5C7D"/>
    <w:rsid w:val="002C0CD3"/>
    <w:rsid w:val="002C30D8"/>
    <w:rsid w:val="002C511D"/>
    <w:rsid w:val="002C57C8"/>
    <w:rsid w:val="002C6C32"/>
    <w:rsid w:val="002C6CE3"/>
    <w:rsid w:val="002C70AF"/>
    <w:rsid w:val="002D0259"/>
    <w:rsid w:val="002D319C"/>
    <w:rsid w:val="002D31C8"/>
    <w:rsid w:val="002D4351"/>
    <w:rsid w:val="002D599D"/>
    <w:rsid w:val="002D6350"/>
    <w:rsid w:val="002E0EBF"/>
    <w:rsid w:val="002E4955"/>
    <w:rsid w:val="002E747A"/>
    <w:rsid w:val="002F0CCA"/>
    <w:rsid w:val="002F423A"/>
    <w:rsid w:val="002F47A4"/>
    <w:rsid w:val="002F5D28"/>
    <w:rsid w:val="002F5DD7"/>
    <w:rsid w:val="002F708A"/>
    <w:rsid w:val="003000D6"/>
    <w:rsid w:val="00300CB2"/>
    <w:rsid w:val="003018BB"/>
    <w:rsid w:val="00305B98"/>
    <w:rsid w:val="003113D8"/>
    <w:rsid w:val="00314782"/>
    <w:rsid w:val="00316293"/>
    <w:rsid w:val="00320AE0"/>
    <w:rsid w:val="003234DA"/>
    <w:rsid w:val="00323B6C"/>
    <w:rsid w:val="003245AD"/>
    <w:rsid w:val="003300AF"/>
    <w:rsid w:val="0033078D"/>
    <w:rsid w:val="00330A24"/>
    <w:rsid w:val="003315F3"/>
    <w:rsid w:val="00332466"/>
    <w:rsid w:val="00333165"/>
    <w:rsid w:val="00334469"/>
    <w:rsid w:val="00335765"/>
    <w:rsid w:val="00336B6F"/>
    <w:rsid w:val="00340C9D"/>
    <w:rsid w:val="00341F11"/>
    <w:rsid w:val="00343053"/>
    <w:rsid w:val="00343B87"/>
    <w:rsid w:val="0034412B"/>
    <w:rsid w:val="00344507"/>
    <w:rsid w:val="00344676"/>
    <w:rsid w:val="003456AD"/>
    <w:rsid w:val="00347DD3"/>
    <w:rsid w:val="00350711"/>
    <w:rsid w:val="00352318"/>
    <w:rsid w:val="00352442"/>
    <w:rsid w:val="0035632F"/>
    <w:rsid w:val="003571DC"/>
    <w:rsid w:val="00357567"/>
    <w:rsid w:val="003618C9"/>
    <w:rsid w:val="003623DB"/>
    <w:rsid w:val="00363F3C"/>
    <w:rsid w:val="0036501E"/>
    <w:rsid w:val="00366998"/>
    <w:rsid w:val="003739F7"/>
    <w:rsid w:val="00374792"/>
    <w:rsid w:val="00376FBA"/>
    <w:rsid w:val="003774AB"/>
    <w:rsid w:val="003815D1"/>
    <w:rsid w:val="00384053"/>
    <w:rsid w:val="0038441B"/>
    <w:rsid w:val="003861A4"/>
    <w:rsid w:val="0038717C"/>
    <w:rsid w:val="00390F6B"/>
    <w:rsid w:val="00391F84"/>
    <w:rsid w:val="00392483"/>
    <w:rsid w:val="00392F02"/>
    <w:rsid w:val="00393545"/>
    <w:rsid w:val="003937B5"/>
    <w:rsid w:val="00395367"/>
    <w:rsid w:val="00395FA4"/>
    <w:rsid w:val="0039683A"/>
    <w:rsid w:val="00397F8A"/>
    <w:rsid w:val="003A1CFF"/>
    <w:rsid w:val="003A40AD"/>
    <w:rsid w:val="003A6FDE"/>
    <w:rsid w:val="003A6FF1"/>
    <w:rsid w:val="003A758F"/>
    <w:rsid w:val="003B2837"/>
    <w:rsid w:val="003B36DD"/>
    <w:rsid w:val="003B6886"/>
    <w:rsid w:val="003B7F28"/>
    <w:rsid w:val="003C04EA"/>
    <w:rsid w:val="003C0983"/>
    <w:rsid w:val="003C1DA9"/>
    <w:rsid w:val="003C32BE"/>
    <w:rsid w:val="003C3561"/>
    <w:rsid w:val="003C3F02"/>
    <w:rsid w:val="003C44ED"/>
    <w:rsid w:val="003C5440"/>
    <w:rsid w:val="003C6338"/>
    <w:rsid w:val="003C6948"/>
    <w:rsid w:val="003C73D9"/>
    <w:rsid w:val="003C7E3B"/>
    <w:rsid w:val="003D1250"/>
    <w:rsid w:val="003D2708"/>
    <w:rsid w:val="003D32C0"/>
    <w:rsid w:val="003D4336"/>
    <w:rsid w:val="003D451B"/>
    <w:rsid w:val="003D7E2B"/>
    <w:rsid w:val="003E02F1"/>
    <w:rsid w:val="003E1F1A"/>
    <w:rsid w:val="003E41BD"/>
    <w:rsid w:val="003E46DC"/>
    <w:rsid w:val="003E5450"/>
    <w:rsid w:val="003E7ABB"/>
    <w:rsid w:val="003F22F3"/>
    <w:rsid w:val="003F55C7"/>
    <w:rsid w:val="003F586E"/>
    <w:rsid w:val="004008F6"/>
    <w:rsid w:val="00400A1B"/>
    <w:rsid w:val="00400BE7"/>
    <w:rsid w:val="00401BAC"/>
    <w:rsid w:val="00403918"/>
    <w:rsid w:val="00403B54"/>
    <w:rsid w:val="0040421B"/>
    <w:rsid w:val="00404804"/>
    <w:rsid w:val="00405C36"/>
    <w:rsid w:val="00410748"/>
    <w:rsid w:val="004122BE"/>
    <w:rsid w:val="00413D39"/>
    <w:rsid w:val="004148E0"/>
    <w:rsid w:val="004168E2"/>
    <w:rsid w:val="00420289"/>
    <w:rsid w:val="00420559"/>
    <w:rsid w:val="00424475"/>
    <w:rsid w:val="00424F61"/>
    <w:rsid w:val="00424FFB"/>
    <w:rsid w:val="00425DCA"/>
    <w:rsid w:val="00425EF6"/>
    <w:rsid w:val="00426B9B"/>
    <w:rsid w:val="00431C8D"/>
    <w:rsid w:val="00431F8A"/>
    <w:rsid w:val="004331C7"/>
    <w:rsid w:val="004351C3"/>
    <w:rsid w:val="00435DBF"/>
    <w:rsid w:val="00437B58"/>
    <w:rsid w:val="004460E1"/>
    <w:rsid w:val="00446CD0"/>
    <w:rsid w:val="004574D8"/>
    <w:rsid w:val="00461383"/>
    <w:rsid w:val="004613A1"/>
    <w:rsid w:val="00461A7F"/>
    <w:rsid w:val="00462763"/>
    <w:rsid w:val="0046566F"/>
    <w:rsid w:val="00465F1A"/>
    <w:rsid w:val="0047033A"/>
    <w:rsid w:val="004707EE"/>
    <w:rsid w:val="00472403"/>
    <w:rsid w:val="00473559"/>
    <w:rsid w:val="00473D13"/>
    <w:rsid w:val="00474E00"/>
    <w:rsid w:val="0048066D"/>
    <w:rsid w:val="00483B95"/>
    <w:rsid w:val="004871A0"/>
    <w:rsid w:val="004900D6"/>
    <w:rsid w:val="0049203C"/>
    <w:rsid w:val="00492561"/>
    <w:rsid w:val="004954FC"/>
    <w:rsid w:val="00496088"/>
    <w:rsid w:val="004965A5"/>
    <w:rsid w:val="0049696D"/>
    <w:rsid w:val="00497B3A"/>
    <w:rsid w:val="004A002C"/>
    <w:rsid w:val="004A12AA"/>
    <w:rsid w:val="004A2BAC"/>
    <w:rsid w:val="004A51BD"/>
    <w:rsid w:val="004A62DF"/>
    <w:rsid w:val="004A6FB5"/>
    <w:rsid w:val="004B058D"/>
    <w:rsid w:val="004B3657"/>
    <w:rsid w:val="004B3794"/>
    <w:rsid w:val="004B3C68"/>
    <w:rsid w:val="004B4A31"/>
    <w:rsid w:val="004B6490"/>
    <w:rsid w:val="004B6AAC"/>
    <w:rsid w:val="004C24C1"/>
    <w:rsid w:val="004C2BE9"/>
    <w:rsid w:val="004C6143"/>
    <w:rsid w:val="004C68B6"/>
    <w:rsid w:val="004C6D6E"/>
    <w:rsid w:val="004D0392"/>
    <w:rsid w:val="004D1FEA"/>
    <w:rsid w:val="004D2924"/>
    <w:rsid w:val="004D30AF"/>
    <w:rsid w:val="004D475C"/>
    <w:rsid w:val="004D4FF4"/>
    <w:rsid w:val="004D5D7E"/>
    <w:rsid w:val="004E09BC"/>
    <w:rsid w:val="004E0D53"/>
    <w:rsid w:val="004E14D6"/>
    <w:rsid w:val="004E1618"/>
    <w:rsid w:val="004E3898"/>
    <w:rsid w:val="004E4144"/>
    <w:rsid w:val="004E4256"/>
    <w:rsid w:val="004E4FBF"/>
    <w:rsid w:val="004E5A11"/>
    <w:rsid w:val="004E73F1"/>
    <w:rsid w:val="004E75D1"/>
    <w:rsid w:val="004F0C81"/>
    <w:rsid w:val="004F1025"/>
    <w:rsid w:val="004F10CC"/>
    <w:rsid w:val="004F1181"/>
    <w:rsid w:val="004F34D4"/>
    <w:rsid w:val="004F5A46"/>
    <w:rsid w:val="0050375E"/>
    <w:rsid w:val="005046EF"/>
    <w:rsid w:val="00504E0B"/>
    <w:rsid w:val="00510019"/>
    <w:rsid w:val="00512FEC"/>
    <w:rsid w:val="005147F4"/>
    <w:rsid w:val="0051498D"/>
    <w:rsid w:val="00515E61"/>
    <w:rsid w:val="00522335"/>
    <w:rsid w:val="005237E5"/>
    <w:rsid w:val="00524ECD"/>
    <w:rsid w:val="0053008F"/>
    <w:rsid w:val="0053023E"/>
    <w:rsid w:val="00531AC2"/>
    <w:rsid w:val="0053389C"/>
    <w:rsid w:val="0053479A"/>
    <w:rsid w:val="00535981"/>
    <w:rsid w:val="005410D1"/>
    <w:rsid w:val="00541BDD"/>
    <w:rsid w:val="00542E5D"/>
    <w:rsid w:val="00543844"/>
    <w:rsid w:val="005503C2"/>
    <w:rsid w:val="0055113B"/>
    <w:rsid w:val="00551EE9"/>
    <w:rsid w:val="00556B7E"/>
    <w:rsid w:val="00560AE9"/>
    <w:rsid w:val="00563BB2"/>
    <w:rsid w:val="00564E69"/>
    <w:rsid w:val="00565E5B"/>
    <w:rsid w:val="00565E80"/>
    <w:rsid w:val="0057066F"/>
    <w:rsid w:val="00570EC6"/>
    <w:rsid w:val="00573170"/>
    <w:rsid w:val="005734B8"/>
    <w:rsid w:val="0057477F"/>
    <w:rsid w:val="00575792"/>
    <w:rsid w:val="00576A74"/>
    <w:rsid w:val="00576E05"/>
    <w:rsid w:val="005800A1"/>
    <w:rsid w:val="005824DE"/>
    <w:rsid w:val="00582A60"/>
    <w:rsid w:val="00582AFA"/>
    <w:rsid w:val="0058320C"/>
    <w:rsid w:val="00590040"/>
    <w:rsid w:val="0059033E"/>
    <w:rsid w:val="0059194D"/>
    <w:rsid w:val="00592A25"/>
    <w:rsid w:val="00594EFF"/>
    <w:rsid w:val="005A327D"/>
    <w:rsid w:val="005A32A2"/>
    <w:rsid w:val="005A4F20"/>
    <w:rsid w:val="005A53B5"/>
    <w:rsid w:val="005A548D"/>
    <w:rsid w:val="005A611C"/>
    <w:rsid w:val="005A6463"/>
    <w:rsid w:val="005A6ED2"/>
    <w:rsid w:val="005A7276"/>
    <w:rsid w:val="005B2075"/>
    <w:rsid w:val="005B2B0D"/>
    <w:rsid w:val="005B5972"/>
    <w:rsid w:val="005B6360"/>
    <w:rsid w:val="005B712B"/>
    <w:rsid w:val="005B7B2C"/>
    <w:rsid w:val="005C0022"/>
    <w:rsid w:val="005C0E86"/>
    <w:rsid w:val="005C3137"/>
    <w:rsid w:val="005C583D"/>
    <w:rsid w:val="005C668D"/>
    <w:rsid w:val="005C77E3"/>
    <w:rsid w:val="005D0BE2"/>
    <w:rsid w:val="005D1AC6"/>
    <w:rsid w:val="005D4D4E"/>
    <w:rsid w:val="005D517B"/>
    <w:rsid w:val="005D518A"/>
    <w:rsid w:val="005E4077"/>
    <w:rsid w:val="005E5400"/>
    <w:rsid w:val="005E6937"/>
    <w:rsid w:val="005F2074"/>
    <w:rsid w:val="005F2734"/>
    <w:rsid w:val="005F2C1E"/>
    <w:rsid w:val="005F63AD"/>
    <w:rsid w:val="00603C7B"/>
    <w:rsid w:val="0060433B"/>
    <w:rsid w:val="0060670E"/>
    <w:rsid w:val="00607612"/>
    <w:rsid w:val="0061015F"/>
    <w:rsid w:val="0061035C"/>
    <w:rsid w:val="00613064"/>
    <w:rsid w:val="00615438"/>
    <w:rsid w:val="0061566F"/>
    <w:rsid w:val="00617A0D"/>
    <w:rsid w:val="00621361"/>
    <w:rsid w:val="00622239"/>
    <w:rsid w:val="00622C7D"/>
    <w:rsid w:val="0062326A"/>
    <w:rsid w:val="00623FB6"/>
    <w:rsid w:val="00624696"/>
    <w:rsid w:val="00624B37"/>
    <w:rsid w:val="0062535D"/>
    <w:rsid w:val="0062688F"/>
    <w:rsid w:val="00633352"/>
    <w:rsid w:val="006333C0"/>
    <w:rsid w:val="006333D5"/>
    <w:rsid w:val="00636524"/>
    <w:rsid w:val="006417BE"/>
    <w:rsid w:val="006422FF"/>
    <w:rsid w:val="00643720"/>
    <w:rsid w:val="006444BA"/>
    <w:rsid w:val="00647EC6"/>
    <w:rsid w:val="00650B07"/>
    <w:rsid w:val="00651449"/>
    <w:rsid w:val="00651770"/>
    <w:rsid w:val="00652A3A"/>
    <w:rsid w:val="00653A87"/>
    <w:rsid w:val="00655042"/>
    <w:rsid w:val="00655743"/>
    <w:rsid w:val="00660156"/>
    <w:rsid w:val="00660E32"/>
    <w:rsid w:val="00670409"/>
    <w:rsid w:val="006718E7"/>
    <w:rsid w:val="006757B4"/>
    <w:rsid w:val="00675905"/>
    <w:rsid w:val="00675F8A"/>
    <w:rsid w:val="00681756"/>
    <w:rsid w:val="00682585"/>
    <w:rsid w:val="00684063"/>
    <w:rsid w:val="00686510"/>
    <w:rsid w:val="00690C80"/>
    <w:rsid w:val="00690FC6"/>
    <w:rsid w:val="006911F9"/>
    <w:rsid w:val="0069260A"/>
    <w:rsid w:val="00693CC3"/>
    <w:rsid w:val="00697296"/>
    <w:rsid w:val="006A080E"/>
    <w:rsid w:val="006A2363"/>
    <w:rsid w:val="006A33BF"/>
    <w:rsid w:val="006A355E"/>
    <w:rsid w:val="006A3805"/>
    <w:rsid w:val="006A57DE"/>
    <w:rsid w:val="006B147E"/>
    <w:rsid w:val="006B263B"/>
    <w:rsid w:val="006B3A5F"/>
    <w:rsid w:val="006B59DC"/>
    <w:rsid w:val="006B6DC3"/>
    <w:rsid w:val="006B7A02"/>
    <w:rsid w:val="006C46B5"/>
    <w:rsid w:val="006C6057"/>
    <w:rsid w:val="006C7056"/>
    <w:rsid w:val="006C7742"/>
    <w:rsid w:val="006D0067"/>
    <w:rsid w:val="006D05DE"/>
    <w:rsid w:val="006D376F"/>
    <w:rsid w:val="006D3C6D"/>
    <w:rsid w:val="006D5002"/>
    <w:rsid w:val="006D7671"/>
    <w:rsid w:val="006D7A0E"/>
    <w:rsid w:val="006E0333"/>
    <w:rsid w:val="006E0888"/>
    <w:rsid w:val="006E0F6A"/>
    <w:rsid w:val="006E1AA4"/>
    <w:rsid w:val="006E2E06"/>
    <w:rsid w:val="006E451D"/>
    <w:rsid w:val="006E4DAD"/>
    <w:rsid w:val="006E5583"/>
    <w:rsid w:val="006E79D6"/>
    <w:rsid w:val="006E7B15"/>
    <w:rsid w:val="006F0F44"/>
    <w:rsid w:val="006F0FDC"/>
    <w:rsid w:val="006F1EF5"/>
    <w:rsid w:val="006F3C0F"/>
    <w:rsid w:val="0070049F"/>
    <w:rsid w:val="007017D9"/>
    <w:rsid w:val="0070370A"/>
    <w:rsid w:val="00705C08"/>
    <w:rsid w:val="0070600D"/>
    <w:rsid w:val="007136A1"/>
    <w:rsid w:val="00714C59"/>
    <w:rsid w:val="00714F29"/>
    <w:rsid w:val="00716966"/>
    <w:rsid w:val="00717C5B"/>
    <w:rsid w:val="007207BB"/>
    <w:rsid w:val="00720D01"/>
    <w:rsid w:val="00720E97"/>
    <w:rsid w:val="00721625"/>
    <w:rsid w:val="00723E36"/>
    <w:rsid w:val="0072464B"/>
    <w:rsid w:val="00726399"/>
    <w:rsid w:val="0072787A"/>
    <w:rsid w:val="00727D95"/>
    <w:rsid w:val="007310A6"/>
    <w:rsid w:val="0073217A"/>
    <w:rsid w:val="007324C1"/>
    <w:rsid w:val="0073322B"/>
    <w:rsid w:val="007334B4"/>
    <w:rsid w:val="00735E72"/>
    <w:rsid w:val="0073728A"/>
    <w:rsid w:val="00737423"/>
    <w:rsid w:val="0073781F"/>
    <w:rsid w:val="00737DE9"/>
    <w:rsid w:val="00740672"/>
    <w:rsid w:val="00742DCF"/>
    <w:rsid w:val="00746374"/>
    <w:rsid w:val="0075122F"/>
    <w:rsid w:val="00752CD9"/>
    <w:rsid w:val="007532B5"/>
    <w:rsid w:val="0075379C"/>
    <w:rsid w:val="007551AC"/>
    <w:rsid w:val="00755BD8"/>
    <w:rsid w:val="0075651A"/>
    <w:rsid w:val="00757617"/>
    <w:rsid w:val="007617BE"/>
    <w:rsid w:val="007618DA"/>
    <w:rsid w:val="00762F2E"/>
    <w:rsid w:val="00764715"/>
    <w:rsid w:val="00764C4A"/>
    <w:rsid w:val="00765F84"/>
    <w:rsid w:val="007716A4"/>
    <w:rsid w:val="00771DA2"/>
    <w:rsid w:val="00771E05"/>
    <w:rsid w:val="0077462A"/>
    <w:rsid w:val="007824EB"/>
    <w:rsid w:val="007825B6"/>
    <w:rsid w:val="00782D81"/>
    <w:rsid w:val="007836FE"/>
    <w:rsid w:val="00783A73"/>
    <w:rsid w:val="00785514"/>
    <w:rsid w:val="00787B9A"/>
    <w:rsid w:val="00790BE5"/>
    <w:rsid w:val="0079134C"/>
    <w:rsid w:val="00792A68"/>
    <w:rsid w:val="00793E05"/>
    <w:rsid w:val="00793E41"/>
    <w:rsid w:val="0079677E"/>
    <w:rsid w:val="007A15F7"/>
    <w:rsid w:val="007A1676"/>
    <w:rsid w:val="007A2D82"/>
    <w:rsid w:val="007A394B"/>
    <w:rsid w:val="007A6E3C"/>
    <w:rsid w:val="007A7C11"/>
    <w:rsid w:val="007B2A75"/>
    <w:rsid w:val="007B3DFB"/>
    <w:rsid w:val="007B44D7"/>
    <w:rsid w:val="007B4808"/>
    <w:rsid w:val="007B4CA9"/>
    <w:rsid w:val="007B5D99"/>
    <w:rsid w:val="007B5F13"/>
    <w:rsid w:val="007B7862"/>
    <w:rsid w:val="007C2EAE"/>
    <w:rsid w:val="007D19D0"/>
    <w:rsid w:val="007D1B47"/>
    <w:rsid w:val="007D1D89"/>
    <w:rsid w:val="007D78E0"/>
    <w:rsid w:val="007E2383"/>
    <w:rsid w:val="007E2AE8"/>
    <w:rsid w:val="007E47CA"/>
    <w:rsid w:val="007E48C2"/>
    <w:rsid w:val="007E56E7"/>
    <w:rsid w:val="007E5A6F"/>
    <w:rsid w:val="007E5FF1"/>
    <w:rsid w:val="007F117E"/>
    <w:rsid w:val="007F1496"/>
    <w:rsid w:val="007F4FA2"/>
    <w:rsid w:val="007F5F74"/>
    <w:rsid w:val="007F75E1"/>
    <w:rsid w:val="00800A81"/>
    <w:rsid w:val="008017C7"/>
    <w:rsid w:val="00802052"/>
    <w:rsid w:val="00804091"/>
    <w:rsid w:val="00804C44"/>
    <w:rsid w:val="0080772D"/>
    <w:rsid w:val="0081231D"/>
    <w:rsid w:val="008150E0"/>
    <w:rsid w:val="0081522E"/>
    <w:rsid w:val="008155B5"/>
    <w:rsid w:val="0081770B"/>
    <w:rsid w:val="008211B7"/>
    <w:rsid w:val="008213CB"/>
    <w:rsid w:val="00821E4A"/>
    <w:rsid w:val="00824753"/>
    <w:rsid w:val="00824F2D"/>
    <w:rsid w:val="008258E3"/>
    <w:rsid w:val="008266F5"/>
    <w:rsid w:val="00827061"/>
    <w:rsid w:val="0083022B"/>
    <w:rsid w:val="00832992"/>
    <w:rsid w:val="0084103B"/>
    <w:rsid w:val="00841F70"/>
    <w:rsid w:val="0084308F"/>
    <w:rsid w:val="00843D10"/>
    <w:rsid w:val="00846472"/>
    <w:rsid w:val="008465EF"/>
    <w:rsid w:val="00846999"/>
    <w:rsid w:val="00851522"/>
    <w:rsid w:val="0085158D"/>
    <w:rsid w:val="008517C2"/>
    <w:rsid w:val="00853290"/>
    <w:rsid w:val="00854A62"/>
    <w:rsid w:val="0085689D"/>
    <w:rsid w:val="00857188"/>
    <w:rsid w:val="00857957"/>
    <w:rsid w:val="00857ED4"/>
    <w:rsid w:val="008613A0"/>
    <w:rsid w:val="00863403"/>
    <w:rsid w:val="00863B6C"/>
    <w:rsid w:val="00867CF9"/>
    <w:rsid w:val="00870686"/>
    <w:rsid w:val="008738E9"/>
    <w:rsid w:val="0087391A"/>
    <w:rsid w:val="00873B15"/>
    <w:rsid w:val="008750A1"/>
    <w:rsid w:val="00875624"/>
    <w:rsid w:val="00880653"/>
    <w:rsid w:val="00880D80"/>
    <w:rsid w:val="00880F6C"/>
    <w:rsid w:val="008842CA"/>
    <w:rsid w:val="00885171"/>
    <w:rsid w:val="0088679F"/>
    <w:rsid w:val="00891DC6"/>
    <w:rsid w:val="00892FA9"/>
    <w:rsid w:val="008941E1"/>
    <w:rsid w:val="00894C9C"/>
    <w:rsid w:val="008A2B17"/>
    <w:rsid w:val="008A2EF8"/>
    <w:rsid w:val="008A33B5"/>
    <w:rsid w:val="008B004A"/>
    <w:rsid w:val="008B0216"/>
    <w:rsid w:val="008B0634"/>
    <w:rsid w:val="008B1E80"/>
    <w:rsid w:val="008B4821"/>
    <w:rsid w:val="008B4F2F"/>
    <w:rsid w:val="008B52A2"/>
    <w:rsid w:val="008B6C63"/>
    <w:rsid w:val="008B6DF7"/>
    <w:rsid w:val="008B7637"/>
    <w:rsid w:val="008C1AB8"/>
    <w:rsid w:val="008C2C88"/>
    <w:rsid w:val="008C32AD"/>
    <w:rsid w:val="008C37B5"/>
    <w:rsid w:val="008C3ABA"/>
    <w:rsid w:val="008C5A96"/>
    <w:rsid w:val="008C6BC3"/>
    <w:rsid w:val="008C760C"/>
    <w:rsid w:val="008D088F"/>
    <w:rsid w:val="008D49E2"/>
    <w:rsid w:val="008D5997"/>
    <w:rsid w:val="008E0209"/>
    <w:rsid w:val="008E060C"/>
    <w:rsid w:val="008E08C3"/>
    <w:rsid w:val="008E0A96"/>
    <w:rsid w:val="008E1F34"/>
    <w:rsid w:val="008E3534"/>
    <w:rsid w:val="008E3633"/>
    <w:rsid w:val="008E3CA7"/>
    <w:rsid w:val="008E45E7"/>
    <w:rsid w:val="008E5C77"/>
    <w:rsid w:val="008E7752"/>
    <w:rsid w:val="008F0506"/>
    <w:rsid w:val="008F0BE5"/>
    <w:rsid w:val="008F1105"/>
    <w:rsid w:val="008F4466"/>
    <w:rsid w:val="008F4D59"/>
    <w:rsid w:val="008F5E13"/>
    <w:rsid w:val="00900245"/>
    <w:rsid w:val="009006D4"/>
    <w:rsid w:val="009006D9"/>
    <w:rsid w:val="00902235"/>
    <w:rsid w:val="00904ACA"/>
    <w:rsid w:val="00904AD0"/>
    <w:rsid w:val="0090517B"/>
    <w:rsid w:val="00905774"/>
    <w:rsid w:val="0090763D"/>
    <w:rsid w:val="00910174"/>
    <w:rsid w:val="00911E14"/>
    <w:rsid w:val="0091237F"/>
    <w:rsid w:val="00912384"/>
    <w:rsid w:val="00912E98"/>
    <w:rsid w:val="009221CD"/>
    <w:rsid w:val="009279C1"/>
    <w:rsid w:val="0093293B"/>
    <w:rsid w:val="0093456C"/>
    <w:rsid w:val="0093624F"/>
    <w:rsid w:val="009367EF"/>
    <w:rsid w:val="00937E6A"/>
    <w:rsid w:val="00944AC4"/>
    <w:rsid w:val="00946EDB"/>
    <w:rsid w:val="00947818"/>
    <w:rsid w:val="009515CD"/>
    <w:rsid w:val="009526A2"/>
    <w:rsid w:val="009538C7"/>
    <w:rsid w:val="0095479D"/>
    <w:rsid w:val="009615ED"/>
    <w:rsid w:val="00961C6F"/>
    <w:rsid w:val="00961F75"/>
    <w:rsid w:val="00962325"/>
    <w:rsid w:val="0096425C"/>
    <w:rsid w:val="00965D09"/>
    <w:rsid w:val="009665D4"/>
    <w:rsid w:val="00966A36"/>
    <w:rsid w:val="00967C3A"/>
    <w:rsid w:val="00967D66"/>
    <w:rsid w:val="00970BE8"/>
    <w:rsid w:val="009713C4"/>
    <w:rsid w:val="00973233"/>
    <w:rsid w:val="00974BDE"/>
    <w:rsid w:val="009764E8"/>
    <w:rsid w:val="00977214"/>
    <w:rsid w:val="009778F1"/>
    <w:rsid w:val="0098139F"/>
    <w:rsid w:val="009835FC"/>
    <w:rsid w:val="0098429B"/>
    <w:rsid w:val="00984859"/>
    <w:rsid w:val="0098503B"/>
    <w:rsid w:val="009853BA"/>
    <w:rsid w:val="00987752"/>
    <w:rsid w:val="00990505"/>
    <w:rsid w:val="00991D56"/>
    <w:rsid w:val="00993035"/>
    <w:rsid w:val="00993343"/>
    <w:rsid w:val="00993C38"/>
    <w:rsid w:val="00994E2D"/>
    <w:rsid w:val="009967FE"/>
    <w:rsid w:val="00997446"/>
    <w:rsid w:val="009A0445"/>
    <w:rsid w:val="009A1616"/>
    <w:rsid w:val="009A41BF"/>
    <w:rsid w:val="009A5550"/>
    <w:rsid w:val="009A6D5D"/>
    <w:rsid w:val="009A7172"/>
    <w:rsid w:val="009A7B34"/>
    <w:rsid w:val="009B0201"/>
    <w:rsid w:val="009B0D46"/>
    <w:rsid w:val="009B14F5"/>
    <w:rsid w:val="009B1FD7"/>
    <w:rsid w:val="009B2BB2"/>
    <w:rsid w:val="009B3632"/>
    <w:rsid w:val="009B3B5A"/>
    <w:rsid w:val="009B4750"/>
    <w:rsid w:val="009B47E3"/>
    <w:rsid w:val="009B4BE1"/>
    <w:rsid w:val="009B5A87"/>
    <w:rsid w:val="009B7040"/>
    <w:rsid w:val="009B7BDA"/>
    <w:rsid w:val="009C0465"/>
    <w:rsid w:val="009C1C49"/>
    <w:rsid w:val="009C1CB2"/>
    <w:rsid w:val="009C6119"/>
    <w:rsid w:val="009C620F"/>
    <w:rsid w:val="009C7D87"/>
    <w:rsid w:val="009D0A9B"/>
    <w:rsid w:val="009D131D"/>
    <w:rsid w:val="009D17DB"/>
    <w:rsid w:val="009D2090"/>
    <w:rsid w:val="009D38EA"/>
    <w:rsid w:val="009D4263"/>
    <w:rsid w:val="009D674A"/>
    <w:rsid w:val="009E2300"/>
    <w:rsid w:val="009E2EC5"/>
    <w:rsid w:val="009E5174"/>
    <w:rsid w:val="009E5CE9"/>
    <w:rsid w:val="009F3FD7"/>
    <w:rsid w:val="009F610C"/>
    <w:rsid w:val="00A0083F"/>
    <w:rsid w:val="00A02404"/>
    <w:rsid w:val="00A0357D"/>
    <w:rsid w:val="00A048FA"/>
    <w:rsid w:val="00A05A95"/>
    <w:rsid w:val="00A05B35"/>
    <w:rsid w:val="00A06FB0"/>
    <w:rsid w:val="00A10D0A"/>
    <w:rsid w:val="00A1371E"/>
    <w:rsid w:val="00A16792"/>
    <w:rsid w:val="00A16EBC"/>
    <w:rsid w:val="00A17DAE"/>
    <w:rsid w:val="00A2191B"/>
    <w:rsid w:val="00A228DA"/>
    <w:rsid w:val="00A23F50"/>
    <w:rsid w:val="00A2593A"/>
    <w:rsid w:val="00A25A6B"/>
    <w:rsid w:val="00A2606D"/>
    <w:rsid w:val="00A27FBB"/>
    <w:rsid w:val="00A31047"/>
    <w:rsid w:val="00A3222B"/>
    <w:rsid w:val="00A34ECD"/>
    <w:rsid w:val="00A3552C"/>
    <w:rsid w:val="00A36892"/>
    <w:rsid w:val="00A36CD5"/>
    <w:rsid w:val="00A374D4"/>
    <w:rsid w:val="00A404FD"/>
    <w:rsid w:val="00A40CDE"/>
    <w:rsid w:val="00A424CE"/>
    <w:rsid w:val="00A42681"/>
    <w:rsid w:val="00A42C3E"/>
    <w:rsid w:val="00A43C6E"/>
    <w:rsid w:val="00A45718"/>
    <w:rsid w:val="00A4720F"/>
    <w:rsid w:val="00A506A6"/>
    <w:rsid w:val="00A55223"/>
    <w:rsid w:val="00A55B79"/>
    <w:rsid w:val="00A62CE1"/>
    <w:rsid w:val="00A63321"/>
    <w:rsid w:val="00A638A2"/>
    <w:rsid w:val="00A643D1"/>
    <w:rsid w:val="00A714BE"/>
    <w:rsid w:val="00A72445"/>
    <w:rsid w:val="00A72A13"/>
    <w:rsid w:val="00A7514F"/>
    <w:rsid w:val="00A76547"/>
    <w:rsid w:val="00A773D3"/>
    <w:rsid w:val="00A81A8A"/>
    <w:rsid w:val="00A83FF8"/>
    <w:rsid w:val="00A853FE"/>
    <w:rsid w:val="00A85CE4"/>
    <w:rsid w:val="00A85D93"/>
    <w:rsid w:val="00A86CA7"/>
    <w:rsid w:val="00A92999"/>
    <w:rsid w:val="00A96C6F"/>
    <w:rsid w:val="00A96D53"/>
    <w:rsid w:val="00AA14D6"/>
    <w:rsid w:val="00AA326D"/>
    <w:rsid w:val="00AA40EA"/>
    <w:rsid w:val="00AA449D"/>
    <w:rsid w:val="00AA48F6"/>
    <w:rsid w:val="00AA5F1B"/>
    <w:rsid w:val="00AB078B"/>
    <w:rsid w:val="00AB1450"/>
    <w:rsid w:val="00AB372F"/>
    <w:rsid w:val="00AB3F19"/>
    <w:rsid w:val="00AB43AC"/>
    <w:rsid w:val="00AB5043"/>
    <w:rsid w:val="00AC0BA7"/>
    <w:rsid w:val="00AC1874"/>
    <w:rsid w:val="00AC2A06"/>
    <w:rsid w:val="00AC3751"/>
    <w:rsid w:val="00AC71B0"/>
    <w:rsid w:val="00AD06FC"/>
    <w:rsid w:val="00AD1706"/>
    <w:rsid w:val="00AD2776"/>
    <w:rsid w:val="00AD453D"/>
    <w:rsid w:val="00AD5646"/>
    <w:rsid w:val="00AD581B"/>
    <w:rsid w:val="00AE0502"/>
    <w:rsid w:val="00AE067A"/>
    <w:rsid w:val="00AE0B83"/>
    <w:rsid w:val="00AE0CF6"/>
    <w:rsid w:val="00AE2613"/>
    <w:rsid w:val="00AE2B92"/>
    <w:rsid w:val="00AE2C35"/>
    <w:rsid w:val="00AE34F0"/>
    <w:rsid w:val="00AE37A0"/>
    <w:rsid w:val="00AE4693"/>
    <w:rsid w:val="00AF0BC8"/>
    <w:rsid w:val="00AF2FF7"/>
    <w:rsid w:val="00AF467F"/>
    <w:rsid w:val="00AF622C"/>
    <w:rsid w:val="00B00BFF"/>
    <w:rsid w:val="00B0248D"/>
    <w:rsid w:val="00B033D0"/>
    <w:rsid w:val="00B04505"/>
    <w:rsid w:val="00B05F0F"/>
    <w:rsid w:val="00B06333"/>
    <w:rsid w:val="00B06524"/>
    <w:rsid w:val="00B146F5"/>
    <w:rsid w:val="00B14D6B"/>
    <w:rsid w:val="00B17907"/>
    <w:rsid w:val="00B20FE8"/>
    <w:rsid w:val="00B2277D"/>
    <w:rsid w:val="00B22DFB"/>
    <w:rsid w:val="00B22F77"/>
    <w:rsid w:val="00B23E92"/>
    <w:rsid w:val="00B246B0"/>
    <w:rsid w:val="00B24951"/>
    <w:rsid w:val="00B24C12"/>
    <w:rsid w:val="00B26937"/>
    <w:rsid w:val="00B274C0"/>
    <w:rsid w:val="00B2759C"/>
    <w:rsid w:val="00B2763D"/>
    <w:rsid w:val="00B27838"/>
    <w:rsid w:val="00B32820"/>
    <w:rsid w:val="00B33A0E"/>
    <w:rsid w:val="00B33A48"/>
    <w:rsid w:val="00B34BD8"/>
    <w:rsid w:val="00B354FA"/>
    <w:rsid w:val="00B37C5B"/>
    <w:rsid w:val="00B37D40"/>
    <w:rsid w:val="00B4038D"/>
    <w:rsid w:val="00B4446C"/>
    <w:rsid w:val="00B44FD7"/>
    <w:rsid w:val="00B461EE"/>
    <w:rsid w:val="00B47DAE"/>
    <w:rsid w:val="00B50F26"/>
    <w:rsid w:val="00B5130C"/>
    <w:rsid w:val="00B53723"/>
    <w:rsid w:val="00B53E42"/>
    <w:rsid w:val="00B576C5"/>
    <w:rsid w:val="00B6033F"/>
    <w:rsid w:val="00B60F2B"/>
    <w:rsid w:val="00B61F80"/>
    <w:rsid w:val="00B62EA4"/>
    <w:rsid w:val="00B6308C"/>
    <w:rsid w:val="00B65DE0"/>
    <w:rsid w:val="00B70C58"/>
    <w:rsid w:val="00B73E23"/>
    <w:rsid w:val="00B75B32"/>
    <w:rsid w:val="00B776E9"/>
    <w:rsid w:val="00B802C7"/>
    <w:rsid w:val="00B83C2D"/>
    <w:rsid w:val="00B85417"/>
    <w:rsid w:val="00B85902"/>
    <w:rsid w:val="00B90EAB"/>
    <w:rsid w:val="00B951F4"/>
    <w:rsid w:val="00BA2DED"/>
    <w:rsid w:val="00BA3069"/>
    <w:rsid w:val="00BB3A6C"/>
    <w:rsid w:val="00BB51D4"/>
    <w:rsid w:val="00BB5921"/>
    <w:rsid w:val="00BB5A71"/>
    <w:rsid w:val="00BB5BCB"/>
    <w:rsid w:val="00BC14C4"/>
    <w:rsid w:val="00BC210B"/>
    <w:rsid w:val="00BC2C72"/>
    <w:rsid w:val="00BC44C5"/>
    <w:rsid w:val="00BC489E"/>
    <w:rsid w:val="00BC4A25"/>
    <w:rsid w:val="00BC5473"/>
    <w:rsid w:val="00BC5933"/>
    <w:rsid w:val="00BC69FA"/>
    <w:rsid w:val="00BC7764"/>
    <w:rsid w:val="00BD0961"/>
    <w:rsid w:val="00BD1531"/>
    <w:rsid w:val="00BD23C9"/>
    <w:rsid w:val="00BD4DCF"/>
    <w:rsid w:val="00BE00FB"/>
    <w:rsid w:val="00BE021D"/>
    <w:rsid w:val="00BE0B52"/>
    <w:rsid w:val="00BE105B"/>
    <w:rsid w:val="00BE15F5"/>
    <w:rsid w:val="00BE2043"/>
    <w:rsid w:val="00BE20BA"/>
    <w:rsid w:val="00BE2309"/>
    <w:rsid w:val="00BE30A1"/>
    <w:rsid w:val="00BE48C9"/>
    <w:rsid w:val="00BE4C69"/>
    <w:rsid w:val="00BE5D92"/>
    <w:rsid w:val="00BE66C2"/>
    <w:rsid w:val="00BF06E5"/>
    <w:rsid w:val="00BF3138"/>
    <w:rsid w:val="00BF3987"/>
    <w:rsid w:val="00BF408B"/>
    <w:rsid w:val="00BF4EC0"/>
    <w:rsid w:val="00BF60CF"/>
    <w:rsid w:val="00BF7E88"/>
    <w:rsid w:val="00C007A1"/>
    <w:rsid w:val="00C037AE"/>
    <w:rsid w:val="00C05CA3"/>
    <w:rsid w:val="00C0669E"/>
    <w:rsid w:val="00C114ED"/>
    <w:rsid w:val="00C13681"/>
    <w:rsid w:val="00C1483A"/>
    <w:rsid w:val="00C14CC1"/>
    <w:rsid w:val="00C15294"/>
    <w:rsid w:val="00C155D3"/>
    <w:rsid w:val="00C159D5"/>
    <w:rsid w:val="00C200D2"/>
    <w:rsid w:val="00C23BEC"/>
    <w:rsid w:val="00C27D79"/>
    <w:rsid w:val="00C31602"/>
    <w:rsid w:val="00C34B59"/>
    <w:rsid w:val="00C35760"/>
    <w:rsid w:val="00C35FB8"/>
    <w:rsid w:val="00C36320"/>
    <w:rsid w:val="00C36C15"/>
    <w:rsid w:val="00C36C3D"/>
    <w:rsid w:val="00C4286D"/>
    <w:rsid w:val="00C42F35"/>
    <w:rsid w:val="00C4435B"/>
    <w:rsid w:val="00C4443D"/>
    <w:rsid w:val="00C46101"/>
    <w:rsid w:val="00C465FC"/>
    <w:rsid w:val="00C46A06"/>
    <w:rsid w:val="00C50ADE"/>
    <w:rsid w:val="00C53789"/>
    <w:rsid w:val="00C53941"/>
    <w:rsid w:val="00C54758"/>
    <w:rsid w:val="00C54A8D"/>
    <w:rsid w:val="00C5525A"/>
    <w:rsid w:val="00C553D8"/>
    <w:rsid w:val="00C5570F"/>
    <w:rsid w:val="00C57D57"/>
    <w:rsid w:val="00C57E83"/>
    <w:rsid w:val="00C62EF2"/>
    <w:rsid w:val="00C658B4"/>
    <w:rsid w:val="00C6667F"/>
    <w:rsid w:val="00C67925"/>
    <w:rsid w:val="00C70D39"/>
    <w:rsid w:val="00C7127D"/>
    <w:rsid w:val="00C715DD"/>
    <w:rsid w:val="00C71744"/>
    <w:rsid w:val="00C71A8F"/>
    <w:rsid w:val="00C72216"/>
    <w:rsid w:val="00C75894"/>
    <w:rsid w:val="00C76DA3"/>
    <w:rsid w:val="00C76FA0"/>
    <w:rsid w:val="00C7719A"/>
    <w:rsid w:val="00C779E4"/>
    <w:rsid w:val="00C84491"/>
    <w:rsid w:val="00C8454B"/>
    <w:rsid w:val="00C8615A"/>
    <w:rsid w:val="00C87344"/>
    <w:rsid w:val="00C87F0B"/>
    <w:rsid w:val="00C902A1"/>
    <w:rsid w:val="00C905FF"/>
    <w:rsid w:val="00C921D0"/>
    <w:rsid w:val="00C938F3"/>
    <w:rsid w:val="00C94E28"/>
    <w:rsid w:val="00C95577"/>
    <w:rsid w:val="00C95AE4"/>
    <w:rsid w:val="00C95EBB"/>
    <w:rsid w:val="00C96D63"/>
    <w:rsid w:val="00CA5FCC"/>
    <w:rsid w:val="00CB0809"/>
    <w:rsid w:val="00CB1041"/>
    <w:rsid w:val="00CB12A4"/>
    <w:rsid w:val="00CB14A2"/>
    <w:rsid w:val="00CB1935"/>
    <w:rsid w:val="00CB31EE"/>
    <w:rsid w:val="00CB336B"/>
    <w:rsid w:val="00CB34E3"/>
    <w:rsid w:val="00CB5162"/>
    <w:rsid w:val="00CB5F74"/>
    <w:rsid w:val="00CB7112"/>
    <w:rsid w:val="00CC166E"/>
    <w:rsid w:val="00CC1CC2"/>
    <w:rsid w:val="00CC21BA"/>
    <w:rsid w:val="00CC2BA0"/>
    <w:rsid w:val="00CC30B9"/>
    <w:rsid w:val="00CC4945"/>
    <w:rsid w:val="00CC4ABB"/>
    <w:rsid w:val="00CC542F"/>
    <w:rsid w:val="00CC675D"/>
    <w:rsid w:val="00CC6978"/>
    <w:rsid w:val="00CC7476"/>
    <w:rsid w:val="00CD05F8"/>
    <w:rsid w:val="00CD0EF9"/>
    <w:rsid w:val="00CD11AB"/>
    <w:rsid w:val="00CD2D24"/>
    <w:rsid w:val="00CD3B76"/>
    <w:rsid w:val="00CD41FC"/>
    <w:rsid w:val="00CD4AC2"/>
    <w:rsid w:val="00CD6A09"/>
    <w:rsid w:val="00CD6E38"/>
    <w:rsid w:val="00CE0BC3"/>
    <w:rsid w:val="00CE0F38"/>
    <w:rsid w:val="00CE4587"/>
    <w:rsid w:val="00CE4BBF"/>
    <w:rsid w:val="00CE4C19"/>
    <w:rsid w:val="00CE6193"/>
    <w:rsid w:val="00CE6A6F"/>
    <w:rsid w:val="00CF0DAE"/>
    <w:rsid w:val="00CF0F44"/>
    <w:rsid w:val="00CF2098"/>
    <w:rsid w:val="00CF27EE"/>
    <w:rsid w:val="00CF3923"/>
    <w:rsid w:val="00CF4B82"/>
    <w:rsid w:val="00CF5985"/>
    <w:rsid w:val="00D01D6D"/>
    <w:rsid w:val="00D020AE"/>
    <w:rsid w:val="00D032F6"/>
    <w:rsid w:val="00D04AA0"/>
    <w:rsid w:val="00D0658B"/>
    <w:rsid w:val="00D06642"/>
    <w:rsid w:val="00D06B93"/>
    <w:rsid w:val="00D07A78"/>
    <w:rsid w:val="00D13216"/>
    <w:rsid w:val="00D15583"/>
    <w:rsid w:val="00D1625B"/>
    <w:rsid w:val="00D163D5"/>
    <w:rsid w:val="00D2186E"/>
    <w:rsid w:val="00D24AE0"/>
    <w:rsid w:val="00D24B14"/>
    <w:rsid w:val="00D309EE"/>
    <w:rsid w:val="00D313FC"/>
    <w:rsid w:val="00D330EA"/>
    <w:rsid w:val="00D34A2D"/>
    <w:rsid w:val="00D36B28"/>
    <w:rsid w:val="00D43AAF"/>
    <w:rsid w:val="00D43F5F"/>
    <w:rsid w:val="00D45927"/>
    <w:rsid w:val="00D473FD"/>
    <w:rsid w:val="00D500B6"/>
    <w:rsid w:val="00D503CE"/>
    <w:rsid w:val="00D5088A"/>
    <w:rsid w:val="00D50B06"/>
    <w:rsid w:val="00D512C0"/>
    <w:rsid w:val="00D51EEA"/>
    <w:rsid w:val="00D528C3"/>
    <w:rsid w:val="00D53ECD"/>
    <w:rsid w:val="00D55404"/>
    <w:rsid w:val="00D60544"/>
    <w:rsid w:val="00D60A2E"/>
    <w:rsid w:val="00D64730"/>
    <w:rsid w:val="00D65340"/>
    <w:rsid w:val="00D66077"/>
    <w:rsid w:val="00D708FD"/>
    <w:rsid w:val="00D7113D"/>
    <w:rsid w:val="00D72235"/>
    <w:rsid w:val="00D74F10"/>
    <w:rsid w:val="00D75D36"/>
    <w:rsid w:val="00D75E8C"/>
    <w:rsid w:val="00D75F97"/>
    <w:rsid w:val="00D80320"/>
    <w:rsid w:val="00D8106F"/>
    <w:rsid w:val="00D814D6"/>
    <w:rsid w:val="00D819A9"/>
    <w:rsid w:val="00D85129"/>
    <w:rsid w:val="00D86D4D"/>
    <w:rsid w:val="00D87ED8"/>
    <w:rsid w:val="00D901C3"/>
    <w:rsid w:val="00D931A7"/>
    <w:rsid w:val="00D94F22"/>
    <w:rsid w:val="00D95C29"/>
    <w:rsid w:val="00D9709F"/>
    <w:rsid w:val="00D97386"/>
    <w:rsid w:val="00DA14D2"/>
    <w:rsid w:val="00DA1FF1"/>
    <w:rsid w:val="00DA2575"/>
    <w:rsid w:val="00DA312E"/>
    <w:rsid w:val="00DA3A70"/>
    <w:rsid w:val="00DA43B8"/>
    <w:rsid w:val="00DA695C"/>
    <w:rsid w:val="00DA6A9E"/>
    <w:rsid w:val="00DB2E80"/>
    <w:rsid w:val="00DB399C"/>
    <w:rsid w:val="00DB5B04"/>
    <w:rsid w:val="00DB5BC2"/>
    <w:rsid w:val="00DC1818"/>
    <w:rsid w:val="00DC1A0F"/>
    <w:rsid w:val="00DC244F"/>
    <w:rsid w:val="00DC3330"/>
    <w:rsid w:val="00DC3A34"/>
    <w:rsid w:val="00DC581C"/>
    <w:rsid w:val="00DC6B3D"/>
    <w:rsid w:val="00DD045F"/>
    <w:rsid w:val="00DD3214"/>
    <w:rsid w:val="00DD5194"/>
    <w:rsid w:val="00DD5BA6"/>
    <w:rsid w:val="00DD6FF5"/>
    <w:rsid w:val="00DE24B1"/>
    <w:rsid w:val="00DE2F36"/>
    <w:rsid w:val="00DE4EB1"/>
    <w:rsid w:val="00DE6145"/>
    <w:rsid w:val="00DE71B2"/>
    <w:rsid w:val="00DE79E0"/>
    <w:rsid w:val="00DF1CC2"/>
    <w:rsid w:val="00DF451F"/>
    <w:rsid w:val="00DF4AF6"/>
    <w:rsid w:val="00DF4AFA"/>
    <w:rsid w:val="00DF4F85"/>
    <w:rsid w:val="00DF5912"/>
    <w:rsid w:val="00DF647C"/>
    <w:rsid w:val="00DF7341"/>
    <w:rsid w:val="00DF7574"/>
    <w:rsid w:val="00DF7F81"/>
    <w:rsid w:val="00E0172F"/>
    <w:rsid w:val="00E01E1B"/>
    <w:rsid w:val="00E02EA3"/>
    <w:rsid w:val="00E0489A"/>
    <w:rsid w:val="00E07843"/>
    <w:rsid w:val="00E07CC2"/>
    <w:rsid w:val="00E07E71"/>
    <w:rsid w:val="00E10061"/>
    <w:rsid w:val="00E17029"/>
    <w:rsid w:val="00E20429"/>
    <w:rsid w:val="00E2126A"/>
    <w:rsid w:val="00E239DF"/>
    <w:rsid w:val="00E23ABA"/>
    <w:rsid w:val="00E23F0C"/>
    <w:rsid w:val="00E267EA"/>
    <w:rsid w:val="00E27255"/>
    <w:rsid w:val="00E326C9"/>
    <w:rsid w:val="00E34A76"/>
    <w:rsid w:val="00E41458"/>
    <w:rsid w:val="00E4192E"/>
    <w:rsid w:val="00E42AB5"/>
    <w:rsid w:val="00E448B1"/>
    <w:rsid w:val="00E45A19"/>
    <w:rsid w:val="00E465BA"/>
    <w:rsid w:val="00E477CA"/>
    <w:rsid w:val="00E51E40"/>
    <w:rsid w:val="00E55BE6"/>
    <w:rsid w:val="00E56337"/>
    <w:rsid w:val="00E61EA5"/>
    <w:rsid w:val="00E6384F"/>
    <w:rsid w:val="00E640FA"/>
    <w:rsid w:val="00E66622"/>
    <w:rsid w:val="00E678D5"/>
    <w:rsid w:val="00E700CD"/>
    <w:rsid w:val="00E730CB"/>
    <w:rsid w:val="00E739C8"/>
    <w:rsid w:val="00E73BB9"/>
    <w:rsid w:val="00E75F49"/>
    <w:rsid w:val="00E76628"/>
    <w:rsid w:val="00E77489"/>
    <w:rsid w:val="00E80015"/>
    <w:rsid w:val="00E809ED"/>
    <w:rsid w:val="00E80CB2"/>
    <w:rsid w:val="00E81DE4"/>
    <w:rsid w:val="00E834C1"/>
    <w:rsid w:val="00E8377D"/>
    <w:rsid w:val="00E85843"/>
    <w:rsid w:val="00E869DF"/>
    <w:rsid w:val="00E91787"/>
    <w:rsid w:val="00E91914"/>
    <w:rsid w:val="00E92907"/>
    <w:rsid w:val="00E92F38"/>
    <w:rsid w:val="00E940A9"/>
    <w:rsid w:val="00E943CE"/>
    <w:rsid w:val="00E95171"/>
    <w:rsid w:val="00E969C2"/>
    <w:rsid w:val="00E97138"/>
    <w:rsid w:val="00EA06A6"/>
    <w:rsid w:val="00EA1C98"/>
    <w:rsid w:val="00EA2451"/>
    <w:rsid w:val="00EA6669"/>
    <w:rsid w:val="00EB01C3"/>
    <w:rsid w:val="00EB1E8C"/>
    <w:rsid w:val="00EB34EE"/>
    <w:rsid w:val="00EB37AA"/>
    <w:rsid w:val="00EB571B"/>
    <w:rsid w:val="00EB6642"/>
    <w:rsid w:val="00EB7AAB"/>
    <w:rsid w:val="00EB7D7A"/>
    <w:rsid w:val="00EC2D64"/>
    <w:rsid w:val="00EC532F"/>
    <w:rsid w:val="00EC5ACF"/>
    <w:rsid w:val="00EC6B36"/>
    <w:rsid w:val="00ED08C5"/>
    <w:rsid w:val="00ED0989"/>
    <w:rsid w:val="00ED26AA"/>
    <w:rsid w:val="00ED3C56"/>
    <w:rsid w:val="00ED3CF6"/>
    <w:rsid w:val="00ED681A"/>
    <w:rsid w:val="00ED6D8D"/>
    <w:rsid w:val="00ED7D0E"/>
    <w:rsid w:val="00EE1C6F"/>
    <w:rsid w:val="00EE43E8"/>
    <w:rsid w:val="00EE516E"/>
    <w:rsid w:val="00EE5B1A"/>
    <w:rsid w:val="00EE6531"/>
    <w:rsid w:val="00EE78D2"/>
    <w:rsid w:val="00EF020B"/>
    <w:rsid w:val="00EF2A98"/>
    <w:rsid w:val="00EF3519"/>
    <w:rsid w:val="00EF6EAE"/>
    <w:rsid w:val="00EF766C"/>
    <w:rsid w:val="00EF77DA"/>
    <w:rsid w:val="00F00AD1"/>
    <w:rsid w:val="00F0179D"/>
    <w:rsid w:val="00F02175"/>
    <w:rsid w:val="00F02791"/>
    <w:rsid w:val="00F046A6"/>
    <w:rsid w:val="00F0523E"/>
    <w:rsid w:val="00F0CB7E"/>
    <w:rsid w:val="00F10080"/>
    <w:rsid w:val="00F10CBD"/>
    <w:rsid w:val="00F114F1"/>
    <w:rsid w:val="00F11E19"/>
    <w:rsid w:val="00F11E81"/>
    <w:rsid w:val="00F1254B"/>
    <w:rsid w:val="00F13316"/>
    <w:rsid w:val="00F1515E"/>
    <w:rsid w:val="00F16567"/>
    <w:rsid w:val="00F1679A"/>
    <w:rsid w:val="00F17A5A"/>
    <w:rsid w:val="00F24356"/>
    <w:rsid w:val="00F2449C"/>
    <w:rsid w:val="00F245C8"/>
    <w:rsid w:val="00F25076"/>
    <w:rsid w:val="00F36163"/>
    <w:rsid w:val="00F3626F"/>
    <w:rsid w:val="00F36AA0"/>
    <w:rsid w:val="00F37C02"/>
    <w:rsid w:val="00F402FD"/>
    <w:rsid w:val="00F404D9"/>
    <w:rsid w:val="00F418D8"/>
    <w:rsid w:val="00F43450"/>
    <w:rsid w:val="00F440D2"/>
    <w:rsid w:val="00F46957"/>
    <w:rsid w:val="00F46D5E"/>
    <w:rsid w:val="00F50D89"/>
    <w:rsid w:val="00F50F65"/>
    <w:rsid w:val="00F515B1"/>
    <w:rsid w:val="00F51DA1"/>
    <w:rsid w:val="00F5267A"/>
    <w:rsid w:val="00F52769"/>
    <w:rsid w:val="00F53DC2"/>
    <w:rsid w:val="00F56B04"/>
    <w:rsid w:val="00F56ED7"/>
    <w:rsid w:val="00F57825"/>
    <w:rsid w:val="00F6047E"/>
    <w:rsid w:val="00F60519"/>
    <w:rsid w:val="00F61F2B"/>
    <w:rsid w:val="00F632AA"/>
    <w:rsid w:val="00F747CA"/>
    <w:rsid w:val="00F754C5"/>
    <w:rsid w:val="00F763F8"/>
    <w:rsid w:val="00F77C1F"/>
    <w:rsid w:val="00F846C2"/>
    <w:rsid w:val="00F84ED8"/>
    <w:rsid w:val="00F862B8"/>
    <w:rsid w:val="00F86DD1"/>
    <w:rsid w:val="00F901C0"/>
    <w:rsid w:val="00F90B41"/>
    <w:rsid w:val="00F90BFE"/>
    <w:rsid w:val="00F92AEC"/>
    <w:rsid w:val="00F936A4"/>
    <w:rsid w:val="00F94665"/>
    <w:rsid w:val="00F9742B"/>
    <w:rsid w:val="00F9755B"/>
    <w:rsid w:val="00FA139E"/>
    <w:rsid w:val="00FA237B"/>
    <w:rsid w:val="00FA23BC"/>
    <w:rsid w:val="00FA2A0F"/>
    <w:rsid w:val="00FA2AC2"/>
    <w:rsid w:val="00FA336B"/>
    <w:rsid w:val="00FA3B28"/>
    <w:rsid w:val="00FA4A27"/>
    <w:rsid w:val="00FA4B80"/>
    <w:rsid w:val="00FA5620"/>
    <w:rsid w:val="00FA5B5E"/>
    <w:rsid w:val="00FA63CC"/>
    <w:rsid w:val="00FA757F"/>
    <w:rsid w:val="00FA768B"/>
    <w:rsid w:val="00FB16DA"/>
    <w:rsid w:val="00FB24FD"/>
    <w:rsid w:val="00FB45EF"/>
    <w:rsid w:val="00FB65AF"/>
    <w:rsid w:val="00FB7316"/>
    <w:rsid w:val="00FB7833"/>
    <w:rsid w:val="00FC0CB8"/>
    <w:rsid w:val="00FC2702"/>
    <w:rsid w:val="00FC7D5C"/>
    <w:rsid w:val="00FD0A30"/>
    <w:rsid w:val="00FD0D61"/>
    <w:rsid w:val="00FD122A"/>
    <w:rsid w:val="00FD150F"/>
    <w:rsid w:val="00FD34DB"/>
    <w:rsid w:val="00FD420F"/>
    <w:rsid w:val="00FD5A27"/>
    <w:rsid w:val="00FE04E0"/>
    <w:rsid w:val="00FE073A"/>
    <w:rsid w:val="00FE09B2"/>
    <w:rsid w:val="00FE11E6"/>
    <w:rsid w:val="00FE208B"/>
    <w:rsid w:val="00FE32FA"/>
    <w:rsid w:val="00FE678D"/>
    <w:rsid w:val="00FE73C7"/>
    <w:rsid w:val="00FF13C6"/>
    <w:rsid w:val="00FF1E2D"/>
    <w:rsid w:val="00FF3F4E"/>
    <w:rsid w:val="00FF57E1"/>
    <w:rsid w:val="00FF5FC5"/>
    <w:rsid w:val="00FF634B"/>
    <w:rsid w:val="00FF7AEE"/>
    <w:rsid w:val="011732A3"/>
    <w:rsid w:val="015A632A"/>
    <w:rsid w:val="01A5301A"/>
    <w:rsid w:val="0218537B"/>
    <w:rsid w:val="024A01EE"/>
    <w:rsid w:val="04548BDE"/>
    <w:rsid w:val="04A48CD0"/>
    <w:rsid w:val="05950978"/>
    <w:rsid w:val="06559956"/>
    <w:rsid w:val="073056E6"/>
    <w:rsid w:val="07C45271"/>
    <w:rsid w:val="07E060B6"/>
    <w:rsid w:val="07E82878"/>
    <w:rsid w:val="0A08D1A5"/>
    <w:rsid w:val="0D303E47"/>
    <w:rsid w:val="0D8E049C"/>
    <w:rsid w:val="0E81563D"/>
    <w:rsid w:val="0EC4495B"/>
    <w:rsid w:val="0EF8C4ED"/>
    <w:rsid w:val="0FBBAF12"/>
    <w:rsid w:val="10FB6BAE"/>
    <w:rsid w:val="11A2EBFC"/>
    <w:rsid w:val="11DAC0B0"/>
    <w:rsid w:val="11E097AC"/>
    <w:rsid w:val="1276FA49"/>
    <w:rsid w:val="136699AF"/>
    <w:rsid w:val="13ADCB84"/>
    <w:rsid w:val="13B59DDE"/>
    <w:rsid w:val="15343BCE"/>
    <w:rsid w:val="153F91C5"/>
    <w:rsid w:val="15497789"/>
    <w:rsid w:val="15C18028"/>
    <w:rsid w:val="15D5E169"/>
    <w:rsid w:val="162D6B03"/>
    <w:rsid w:val="16713302"/>
    <w:rsid w:val="167936AB"/>
    <w:rsid w:val="1685C7D8"/>
    <w:rsid w:val="16E55282"/>
    <w:rsid w:val="16ED48FA"/>
    <w:rsid w:val="171F3EEA"/>
    <w:rsid w:val="1829414D"/>
    <w:rsid w:val="196307F4"/>
    <w:rsid w:val="1977EEB8"/>
    <w:rsid w:val="1A9473EB"/>
    <w:rsid w:val="1AADD18E"/>
    <w:rsid w:val="1ABD1427"/>
    <w:rsid w:val="1AFB7F51"/>
    <w:rsid w:val="1CE5C6C3"/>
    <w:rsid w:val="1D1F4E44"/>
    <w:rsid w:val="1D6DEE52"/>
    <w:rsid w:val="1DB9BBEB"/>
    <w:rsid w:val="1DFBE952"/>
    <w:rsid w:val="1F79F690"/>
    <w:rsid w:val="1F883418"/>
    <w:rsid w:val="1FEBC902"/>
    <w:rsid w:val="208AE94B"/>
    <w:rsid w:val="21519878"/>
    <w:rsid w:val="21F0DE18"/>
    <w:rsid w:val="224F4A61"/>
    <w:rsid w:val="23CE347A"/>
    <w:rsid w:val="25D43E97"/>
    <w:rsid w:val="2733CCEC"/>
    <w:rsid w:val="28308FC3"/>
    <w:rsid w:val="2866EF2C"/>
    <w:rsid w:val="2892D402"/>
    <w:rsid w:val="28C3DF88"/>
    <w:rsid w:val="295E4821"/>
    <w:rsid w:val="29E5226C"/>
    <w:rsid w:val="2B4B8556"/>
    <w:rsid w:val="2B563468"/>
    <w:rsid w:val="2D01F810"/>
    <w:rsid w:val="2DB3F668"/>
    <w:rsid w:val="2DF29463"/>
    <w:rsid w:val="2E17962E"/>
    <w:rsid w:val="2FF476B8"/>
    <w:rsid w:val="301061F0"/>
    <w:rsid w:val="30A3E0DB"/>
    <w:rsid w:val="312E5333"/>
    <w:rsid w:val="313E6EF1"/>
    <w:rsid w:val="314C6661"/>
    <w:rsid w:val="316FDBB7"/>
    <w:rsid w:val="33F27926"/>
    <w:rsid w:val="341BDA11"/>
    <w:rsid w:val="34F33B17"/>
    <w:rsid w:val="36A7EDD4"/>
    <w:rsid w:val="36DEFE79"/>
    <w:rsid w:val="3761483A"/>
    <w:rsid w:val="37FE8027"/>
    <w:rsid w:val="38AAD9DF"/>
    <w:rsid w:val="3A902102"/>
    <w:rsid w:val="3B50ABE1"/>
    <w:rsid w:val="3B974469"/>
    <w:rsid w:val="3CF9D11F"/>
    <w:rsid w:val="3D41ED7D"/>
    <w:rsid w:val="3DE00A8F"/>
    <w:rsid w:val="3E2871FC"/>
    <w:rsid w:val="400F5483"/>
    <w:rsid w:val="43A1AF3F"/>
    <w:rsid w:val="43D54918"/>
    <w:rsid w:val="459D869B"/>
    <w:rsid w:val="4652F94B"/>
    <w:rsid w:val="46A0E53B"/>
    <w:rsid w:val="47753F4A"/>
    <w:rsid w:val="48712199"/>
    <w:rsid w:val="487FBEE5"/>
    <w:rsid w:val="4B4FF985"/>
    <w:rsid w:val="4C6EE9DC"/>
    <w:rsid w:val="4C74B585"/>
    <w:rsid w:val="4C875D4F"/>
    <w:rsid w:val="4D972040"/>
    <w:rsid w:val="4DB7380E"/>
    <w:rsid w:val="4E5DC4D5"/>
    <w:rsid w:val="4EFA08C6"/>
    <w:rsid w:val="4FDCCE70"/>
    <w:rsid w:val="50036D0B"/>
    <w:rsid w:val="529A1CDC"/>
    <w:rsid w:val="529CC39A"/>
    <w:rsid w:val="531C6BDC"/>
    <w:rsid w:val="53D85BCC"/>
    <w:rsid w:val="5400EC36"/>
    <w:rsid w:val="5481E84C"/>
    <w:rsid w:val="549F13E0"/>
    <w:rsid w:val="549FF7C4"/>
    <w:rsid w:val="54C5B04B"/>
    <w:rsid w:val="54DCD140"/>
    <w:rsid w:val="55612AEE"/>
    <w:rsid w:val="5750F3E3"/>
    <w:rsid w:val="589E0968"/>
    <w:rsid w:val="58AD4C01"/>
    <w:rsid w:val="59344487"/>
    <w:rsid w:val="5A767829"/>
    <w:rsid w:val="5B5D4911"/>
    <w:rsid w:val="5BCB2CEE"/>
    <w:rsid w:val="5BF9A0B6"/>
    <w:rsid w:val="5C2AB893"/>
    <w:rsid w:val="5CB32BA3"/>
    <w:rsid w:val="5CE93D46"/>
    <w:rsid w:val="5E462B6C"/>
    <w:rsid w:val="5F0ABB36"/>
    <w:rsid w:val="5F6E3E7F"/>
    <w:rsid w:val="60285D6F"/>
    <w:rsid w:val="6085BD0A"/>
    <w:rsid w:val="60D13DE1"/>
    <w:rsid w:val="60F61FA3"/>
    <w:rsid w:val="6166BDE6"/>
    <w:rsid w:val="61B15F62"/>
    <w:rsid w:val="61B21C4E"/>
    <w:rsid w:val="62086B48"/>
    <w:rsid w:val="6219F102"/>
    <w:rsid w:val="62E000AF"/>
    <w:rsid w:val="630F88FB"/>
    <w:rsid w:val="64A5E447"/>
    <w:rsid w:val="64E3C19B"/>
    <w:rsid w:val="65636413"/>
    <w:rsid w:val="6563C258"/>
    <w:rsid w:val="661562D8"/>
    <w:rsid w:val="663E471F"/>
    <w:rsid w:val="66C157BF"/>
    <w:rsid w:val="677B9480"/>
    <w:rsid w:val="67EC326F"/>
    <w:rsid w:val="694D7173"/>
    <w:rsid w:val="69C1CE1C"/>
    <w:rsid w:val="6A054132"/>
    <w:rsid w:val="6B2ADF7F"/>
    <w:rsid w:val="6B39434A"/>
    <w:rsid w:val="6B3BDE93"/>
    <w:rsid w:val="6EB1EA7F"/>
    <w:rsid w:val="6F5943E8"/>
    <w:rsid w:val="6FC6CB8C"/>
    <w:rsid w:val="7014A1F3"/>
    <w:rsid w:val="702E879E"/>
    <w:rsid w:val="70C204D9"/>
    <w:rsid w:val="71572EA9"/>
    <w:rsid w:val="71A6D55A"/>
    <w:rsid w:val="71DCFA17"/>
    <w:rsid w:val="7278EB3D"/>
    <w:rsid w:val="728EB915"/>
    <w:rsid w:val="73328D0D"/>
    <w:rsid w:val="739F4D4D"/>
    <w:rsid w:val="7495C02B"/>
    <w:rsid w:val="74AB134A"/>
    <w:rsid w:val="74CB90BA"/>
    <w:rsid w:val="74F2C563"/>
    <w:rsid w:val="755CBB99"/>
    <w:rsid w:val="75BAC026"/>
    <w:rsid w:val="763129D2"/>
    <w:rsid w:val="76371F3F"/>
    <w:rsid w:val="774F0B01"/>
    <w:rsid w:val="7783A28E"/>
    <w:rsid w:val="7888A058"/>
    <w:rsid w:val="7949FF07"/>
    <w:rsid w:val="79632764"/>
    <w:rsid w:val="7C512BBB"/>
    <w:rsid w:val="7CAF7D31"/>
    <w:rsid w:val="7CDF0951"/>
    <w:rsid w:val="7CF324FB"/>
    <w:rsid w:val="7D06D200"/>
    <w:rsid w:val="7D913AB0"/>
    <w:rsid w:val="7DB92ABB"/>
    <w:rsid w:val="7E7668BE"/>
    <w:rsid w:val="7F00D7D8"/>
    <w:rsid w:val="7FE8E407"/>
    <w:rsid w:val="7FF532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7C74"/>
  <w15:chartTrackingRefBased/>
  <w15:docId w15:val="{AA803715-BE98-4A54-8A80-FE479A57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4AB"/>
    <w:rPr>
      <w:rFonts w:ascii="Times New Roman" w:hAnsi="Times New Roman"/>
      <w:sz w:val="24"/>
      <w:szCs w:val="24"/>
    </w:rPr>
  </w:style>
  <w:style w:type="paragraph" w:styleId="Heading1">
    <w:name w:val="heading 1"/>
    <w:basedOn w:val="Normal"/>
    <w:next w:val="Normal"/>
    <w:link w:val="Heading1Char"/>
    <w:uiPriority w:val="9"/>
    <w:qFormat/>
    <w:rsid w:val="774F0B01"/>
    <w:pPr>
      <w:keepNext/>
      <w:spacing w:before="240" w:after="6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774F0B0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774F0B01"/>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774F0B0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774F0B0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774F0B0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774F0B0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774F0B0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774F0B0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74F0B01"/>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774F0B01"/>
    <w:rPr>
      <w:rFonts w:asciiTheme="majorHAnsi" w:eastAsiaTheme="majorEastAsia" w:hAnsiTheme="majorHAnsi" w:cstheme="majorBidi"/>
      <w:b/>
      <w:bCs/>
      <w:noProof w:val="0"/>
      <w:sz w:val="32"/>
      <w:szCs w:val="32"/>
      <w:lang w:val="en-GB"/>
    </w:rPr>
  </w:style>
  <w:style w:type="paragraph" w:styleId="ListParagraph">
    <w:name w:val="List Paragraph"/>
    <w:basedOn w:val="Normal"/>
    <w:link w:val="ListParagraphChar"/>
    <w:uiPriority w:val="34"/>
    <w:qFormat/>
    <w:rsid w:val="774F0B01"/>
    <w:pPr>
      <w:ind w:left="720"/>
      <w:contextualSpacing/>
    </w:pPr>
  </w:style>
  <w:style w:type="character" w:customStyle="1" w:styleId="Heading1Char">
    <w:name w:val="Heading 1 Char"/>
    <w:basedOn w:val="DefaultParagraphFont"/>
    <w:link w:val="Heading1"/>
    <w:uiPriority w:val="9"/>
    <w:rsid w:val="774F0B01"/>
    <w:rPr>
      <w:rFonts w:asciiTheme="majorHAnsi" w:eastAsiaTheme="majorEastAsia" w:hAnsiTheme="majorHAnsi" w:cstheme="majorBidi"/>
      <w:b/>
      <w:bCs/>
      <w:noProof w:val="0"/>
      <w:sz w:val="32"/>
      <w:szCs w:val="32"/>
      <w:lang w:val="en-GB"/>
    </w:rPr>
  </w:style>
  <w:style w:type="paragraph" w:styleId="Bibliography">
    <w:name w:val="Bibliography"/>
    <w:basedOn w:val="Normal"/>
    <w:next w:val="Normal"/>
    <w:uiPriority w:val="37"/>
    <w:unhideWhenUsed/>
    <w:rsid w:val="774F0B01"/>
    <w:pPr>
      <w:spacing w:after="240"/>
    </w:pPr>
  </w:style>
  <w:style w:type="paragraph" w:styleId="Caption">
    <w:name w:val="caption"/>
    <w:basedOn w:val="Normal"/>
    <w:next w:val="Normal"/>
    <w:uiPriority w:val="35"/>
    <w:unhideWhenUsed/>
    <w:rsid w:val="774F0B01"/>
    <w:rPr>
      <w:b/>
      <w:bCs/>
      <w:smallCaps/>
      <w:color w:val="44546A" w:themeColor="text2"/>
    </w:rPr>
  </w:style>
  <w:style w:type="character" w:customStyle="1" w:styleId="ListParagraphChar">
    <w:name w:val="List Paragraph Char"/>
    <w:link w:val="ListParagraph"/>
    <w:uiPriority w:val="34"/>
    <w:rsid w:val="774F0B01"/>
    <w:rPr>
      <w:noProof w:val="0"/>
      <w:sz w:val="24"/>
      <w:szCs w:val="24"/>
    </w:rPr>
  </w:style>
  <w:style w:type="paragraph" w:customStyle="1" w:styleId="2Normal">
    <w:name w:val="2_Normal"/>
    <w:basedOn w:val="Normal"/>
    <w:link w:val="2NormalChar"/>
    <w:uiPriority w:val="1"/>
    <w:rsid w:val="774F0B01"/>
    <w:pPr>
      <w:jc w:val="both"/>
    </w:pPr>
    <w:rPr>
      <w:rFonts w:ascii="Calibri" w:eastAsia="Times New Roman" w:hAnsi="Calibri"/>
      <w:lang w:eastAsia="en-GB"/>
    </w:rPr>
  </w:style>
  <w:style w:type="character" w:customStyle="1" w:styleId="Heading2Char">
    <w:name w:val="Heading 2 Char"/>
    <w:basedOn w:val="DefaultParagraphFont"/>
    <w:link w:val="Heading2"/>
    <w:uiPriority w:val="9"/>
    <w:rsid w:val="774F0B01"/>
    <w:rPr>
      <w:rFonts w:asciiTheme="majorHAnsi" w:eastAsiaTheme="majorEastAsia" w:hAnsiTheme="majorHAnsi" w:cstheme="majorBidi"/>
      <w:b/>
      <w:bCs/>
      <w:i/>
      <w:iCs/>
      <w:noProof w:val="0"/>
      <w:sz w:val="28"/>
      <w:szCs w:val="28"/>
      <w:lang w:val="en-GB"/>
    </w:rPr>
  </w:style>
  <w:style w:type="character" w:styleId="Hyperlink">
    <w:name w:val="Hyperlink"/>
    <w:basedOn w:val="DefaultParagraphFont"/>
    <w:uiPriority w:val="99"/>
    <w:unhideWhenUsed/>
    <w:rsid w:val="00792A68"/>
    <w:rPr>
      <w:color w:val="0563C1" w:themeColor="hyperlink"/>
      <w:u w:val="single"/>
    </w:rPr>
  </w:style>
  <w:style w:type="character" w:styleId="UnresolvedMention">
    <w:name w:val="Unresolved Mention"/>
    <w:basedOn w:val="DefaultParagraphFont"/>
    <w:uiPriority w:val="99"/>
    <w:semiHidden/>
    <w:unhideWhenUsed/>
    <w:rsid w:val="00792A68"/>
    <w:rPr>
      <w:color w:val="605E5C"/>
      <w:shd w:val="clear" w:color="auto" w:fill="E1DFDD"/>
    </w:rPr>
  </w:style>
  <w:style w:type="character" w:customStyle="1" w:styleId="Heading3Char">
    <w:name w:val="Heading 3 Char"/>
    <w:basedOn w:val="DefaultParagraphFont"/>
    <w:link w:val="Heading3"/>
    <w:uiPriority w:val="9"/>
    <w:semiHidden/>
    <w:rsid w:val="774F0B01"/>
    <w:rPr>
      <w:rFonts w:asciiTheme="majorHAnsi" w:eastAsiaTheme="majorEastAsia" w:hAnsiTheme="majorHAnsi" w:cstheme="majorBidi"/>
      <w:b/>
      <w:bCs/>
      <w:noProof w:val="0"/>
      <w:sz w:val="26"/>
      <w:szCs w:val="26"/>
      <w:lang w:val="en-GB"/>
    </w:rPr>
  </w:style>
  <w:style w:type="character" w:customStyle="1" w:styleId="Heading4Char">
    <w:name w:val="Heading 4 Char"/>
    <w:basedOn w:val="DefaultParagraphFont"/>
    <w:link w:val="Heading4"/>
    <w:uiPriority w:val="9"/>
    <w:semiHidden/>
    <w:rsid w:val="774F0B01"/>
    <w:rPr>
      <w:rFonts w:asciiTheme="minorHAnsi" w:eastAsiaTheme="minorEastAsia" w:hAnsiTheme="minorHAnsi" w:cstheme="majorBidi"/>
      <w:b/>
      <w:bCs/>
      <w:noProof w:val="0"/>
      <w:sz w:val="28"/>
      <w:szCs w:val="28"/>
      <w:lang w:val="en-GB"/>
    </w:rPr>
  </w:style>
  <w:style w:type="character" w:customStyle="1" w:styleId="Heading5Char">
    <w:name w:val="Heading 5 Char"/>
    <w:basedOn w:val="DefaultParagraphFont"/>
    <w:link w:val="Heading5"/>
    <w:uiPriority w:val="9"/>
    <w:semiHidden/>
    <w:rsid w:val="774F0B01"/>
    <w:rPr>
      <w:rFonts w:asciiTheme="minorHAnsi" w:eastAsiaTheme="minorEastAsia" w:hAnsiTheme="minorHAnsi" w:cstheme="majorBidi"/>
      <w:b/>
      <w:bCs/>
      <w:i/>
      <w:iCs/>
      <w:noProof w:val="0"/>
      <w:sz w:val="26"/>
      <w:szCs w:val="26"/>
      <w:lang w:val="en-GB"/>
    </w:rPr>
  </w:style>
  <w:style w:type="character" w:customStyle="1" w:styleId="Heading6Char">
    <w:name w:val="Heading 6 Char"/>
    <w:basedOn w:val="DefaultParagraphFont"/>
    <w:link w:val="Heading6"/>
    <w:uiPriority w:val="9"/>
    <w:semiHidden/>
    <w:rsid w:val="774F0B01"/>
    <w:rPr>
      <w:rFonts w:asciiTheme="minorHAnsi" w:eastAsiaTheme="minorEastAsia" w:hAnsiTheme="minorHAnsi" w:cstheme="majorBidi"/>
      <w:b/>
      <w:bCs/>
      <w:noProof w:val="0"/>
      <w:lang w:val="en-GB"/>
    </w:rPr>
  </w:style>
  <w:style w:type="character" w:customStyle="1" w:styleId="Heading7Char">
    <w:name w:val="Heading 7 Char"/>
    <w:basedOn w:val="DefaultParagraphFont"/>
    <w:link w:val="Heading7"/>
    <w:uiPriority w:val="9"/>
    <w:semiHidden/>
    <w:rsid w:val="774F0B01"/>
    <w:rPr>
      <w:rFonts w:asciiTheme="minorHAnsi" w:eastAsiaTheme="minorEastAsia" w:hAnsiTheme="minorHAnsi" w:cstheme="majorBidi"/>
      <w:noProof w:val="0"/>
      <w:sz w:val="24"/>
      <w:szCs w:val="24"/>
      <w:lang w:val="en-GB"/>
    </w:rPr>
  </w:style>
  <w:style w:type="character" w:customStyle="1" w:styleId="Heading8Char">
    <w:name w:val="Heading 8 Char"/>
    <w:basedOn w:val="DefaultParagraphFont"/>
    <w:link w:val="Heading8"/>
    <w:uiPriority w:val="9"/>
    <w:semiHidden/>
    <w:rsid w:val="774F0B01"/>
    <w:rPr>
      <w:rFonts w:asciiTheme="minorHAnsi" w:eastAsiaTheme="minorEastAsia" w:hAnsiTheme="minorHAnsi" w:cstheme="majorBidi"/>
      <w:i/>
      <w:iCs/>
      <w:noProof w:val="0"/>
      <w:sz w:val="24"/>
      <w:szCs w:val="24"/>
      <w:lang w:val="en-GB"/>
    </w:rPr>
  </w:style>
  <w:style w:type="character" w:customStyle="1" w:styleId="Heading9Char">
    <w:name w:val="Heading 9 Char"/>
    <w:basedOn w:val="DefaultParagraphFont"/>
    <w:link w:val="Heading9"/>
    <w:uiPriority w:val="9"/>
    <w:semiHidden/>
    <w:rsid w:val="774F0B01"/>
    <w:rPr>
      <w:rFonts w:asciiTheme="majorHAnsi" w:eastAsiaTheme="majorEastAsia" w:hAnsiTheme="majorHAnsi" w:cstheme="majorBidi"/>
      <w:noProof w:val="0"/>
      <w:lang w:val="en-GB"/>
    </w:rPr>
  </w:style>
  <w:style w:type="paragraph" w:styleId="Subtitle">
    <w:name w:val="Subtitle"/>
    <w:basedOn w:val="Normal"/>
    <w:next w:val="Normal"/>
    <w:link w:val="SubtitleChar"/>
    <w:uiPriority w:val="11"/>
    <w:qFormat/>
    <w:rsid w:val="774F0B01"/>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774F0B01"/>
    <w:rPr>
      <w:rFonts w:asciiTheme="majorHAnsi" w:eastAsiaTheme="majorEastAsia" w:hAnsiTheme="majorHAnsi" w:cstheme="majorBidi"/>
      <w:noProof w:val="0"/>
      <w:sz w:val="24"/>
      <w:szCs w:val="24"/>
      <w:lang w:val="en-GB"/>
    </w:rPr>
  </w:style>
  <w:style w:type="character" w:styleId="Strong">
    <w:name w:val="Strong"/>
    <w:basedOn w:val="DefaultParagraphFont"/>
    <w:uiPriority w:val="22"/>
    <w:qFormat/>
    <w:rsid w:val="006E5583"/>
    <w:rPr>
      <w:b/>
      <w:bCs/>
    </w:rPr>
  </w:style>
  <w:style w:type="character" w:styleId="Emphasis">
    <w:name w:val="Emphasis"/>
    <w:basedOn w:val="DefaultParagraphFont"/>
    <w:uiPriority w:val="20"/>
    <w:qFormat/>
    <w:rsid w:val="006E5583"/>
    <w:rPr>
      <w:rFonts w:asciiTheme="minorHAnsi" w:hAnsiTheme="minorHAnsi"/>
      <w:b/>
      <w:i/>
      <w:iCs/>
    </w:rPr>
  </w:style>
  <w:style w:type="paragraph" w:styleId="NoSpacing">
    <w:name w:val="No Spacing"/>
    <w:basedOn w:val="Normal"/>
    <w:uiPriority w:val="1"/>
    <w:qFormat/>
    <w:rsid w:val="774F0B01"/>
  </w:style>
  <w:style w:type="paragraph" w:styleId="Quote">
    <w:name w:val="Quote"/>
    <w:basedOn w:val="Normal"/>
    <w:next w:val="Normal"/>
    <w:link w:val="QuoteChar"/>
    <w:uiPriority w:val="29"/>
    <w:qFormat/>
    <w:rsid w:val="774F0B01"/>
    <w:rPr>
      <w:i/>
      <w:iCs/>
    </w:rPr>
  </w:style>
  <w:style w:type="character" w:customStyle="1" w:styleId="QuoteChar">
    <w:name w:val="Quote Char"/>
    <w:basedOn w:val="DefaultParagraphFont"/>
    <w:link w:val="Quote"/>
    <w:uiPriority w:val="29"/>
    <w:rsid w:val="774F0B01"/>
    <w:rPr>
      <w:i/>
      <w:iCs/>
      <w:noProof w:val="0"/>
      <w:sz w:val="24"/>
      <w:szCs w:val="24"/>
      <w:lang w:val="en-GB"/>
    </w:rPr>
  </w:style>
  <w:style w:type="paragraph" w:styleId="IntenseQuote">
    <w:name w:val="Intense Quote"/>
    <w:basedOn w:val="Normal"/>
    <w:next w:val="Normal"/>
    <w:link w:val="IntenseQuoteChar"/>
    <w:uiPriority w:val="30"/>
    <w:qFormat/>
    <w:rsid w:val="774F0B01"/>
    <w:pPr>
      <w:ind w:left="720" w:right="720"/>
    </w:pPr>
    <w:rPr>
      <w:rFonts w:cstheme="majorBidi"/>
      <w:b/>
      <w:bCs/>
      <w:i/>
      <w:iCs/>
    </w:rPr>
  </w:style>
  <w:style w:type="character" w:customStyle="1" w:styleId="IntenseQuoteChar">
    <w:name w:val="Intense Quote Char"/>
    <w:basedOn w:val="DefaultParagraphFont"/>
    <w:link w:val="IntenseQuote"/>
    <w:uiPriority w:val="30"/>
    <w:rsid w:val="774F0B01"/>
    <w:rPr>
      <w:rFonts w:asciiTheme="minorHAnsi" w:eastAsiaTheme="minorEastAsia" w:hAnsiTheme="minorHAnsi" w:cstheme="majorBidi"/>
      <w:b/>
      <w:bCs/>
      <w:i/>
      <w:iCs/>
      <w:noProof w:val="0"/>
      <w:sz w:val="24"/>
      <w:szCs w:val="24"/>
      <w:lang w:val="en-GB"/>
    </w:rPr>
  </w:style>
  <w:style w:type="character" w:styleId="SubtleEmphasis">
    <w:name w:val="Subtle Emphasis"/>
    <w:uiPriority w:val="19"/>
    <w:qFormat/>
    <w:rsid w:val="006E5583"/>
    <w:rPr>
      <w:i/>
      <w:color w:val="5A5A5A" w:themeColor="text1" w:themeTint="A5"/>
    </w:rPr>
  </w:style>
  <w:style w:type="character" w:styleId="IntenseEmphasis">
    <w:name w:val="Intense Emphasis"/>
    <w:basedOn w:val="DefaultParagraphFont"/>
    <w:uiPriority w:val="21"/>
    <w:qFormat/>
    <w:rsid w:val="006E5583"/>
    <w:rPr>
      <w:b/>
      <w:i/>
      <w:sz w:val="24"/>
      <w:szCs w:val="24"/>
      <w:u w:val="single"/>
    </w:rPr>
  </w:style>
  <w:style w:type="character" w:styleId="SubtleReference">
    <w:name w:val="Subtle Reference"/>
    <w:basedOn w:val="DefaultParagraphFont"/>
    <w:uiPriority w:val="31"/>
    <w:qFormat/>
    <w:rsid w:val="006E5583"/>
    <w:rPr>
      <w:sz w:val="24"/>
      <w:szCs w:val="24"/>
      <w:u w:val="single"/>
    </w:rPr>
  </w:style>
  <w:style w:type="character" w:styleId="IntenseReference">
    <w:name w:val="Intense Reference"/>
    <w:basedOn w:val="DefaultParagraphFont"/>
    <w:uiPriority w:val="32"/>
    <w:qFormat/>
    <w:rsid w:val="006E5583"/>
    <w:rPr>
      <w:b/>
      <w:sz w:val="24"/>
      <w:u w:val="single"/>
    </w:rPr>
  </w:style>
  <w:style w:type="character" w:styleId="BookTitle">
    <w:name w:val="Book Title"/>
    <w:basedOn w:val="DefaultParagraphFont"/>
    <w:uiPriority w:val="33"/>
    <w:qFormat/>
    <w:rsid w:val="006E558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774F0B01"/>
  </w:style>
  <w:style w:type="paragraph" w:styleId="FootnoteText">
    <w:name w:val="footnote text"/>
    <w:basedOn w:val="Normal"/>
    <w:link w:val="FootnoteTextChar"/>
    <w:uiPriority w:val="99"/>
    <w:unhideWhenUsed/>
    <w:rsid w:val="774F0B01"/>
    <w:rPr>
      <w:sz w:val="20"/>
      <w:szCs w:val="20"/>
    </w:rPr>
  </w:style>
  <w:style w:type="character" w:customStyle="1" w:styleId="FootnoteTextChar">
    <w:name w:val="Footnote Text Char"/>
    <w:basedOn w:val="DefaultParagraphFont"/>
    <w:link w:val="FootnoteText"/>
    <w:uiPriority w:val="99"/>
    <w:rsid w:val="774F0B01"/>
    <w:rPr>
      <w:noProof w:val="0"/>
      <w:sz w:val="20"/>
      <w:szCs w:val="20"/>
      <w:lang w:val="en-GB"/>
    </w:rPr>
  </w:style>
  <w:style w:type="character" w:styleId="FootnoteReference">
    <w:name w:val="footnote reference"/>
    <w:basedOn w:val="DefaultParagraphFont"/>
    <w:uiPriority w:val="99"/>
    <w:semiHidden/>
    <w:unhideWhenUsed/>
    <w:rsid w:val="00D473FD"/>
    <w:rPr>
      <w:vertAlign w:val="superscript"/>
    </w:rPr>
  </w:style>
  <w:style w:type="character" w:styleId="CommentReference">
    <w:name w:val="annotation reference"/>
    <w:basedOn w:val="DefaultParagraphFont"/>
    <w:uiPriority w:val="99"/>
    <w:semiHidden/>
    <w:unhideWhenUsed/>
    <w:rsid w:val="006B7A02"/>
    <w:rPr>
      <w:sz w:val="16"/>
      <w:szCs w:val="16"/>
    </w:rPr>
  </w:style>
  <w:style w:type="paragraph" w:styleId="CommentText">
    <w:name w:val="annotation text"/>
    <w:basedOn w:val="Normal"/>
    <w:link w:val="CommentTextChar"/>
    <w:uiPriority w:val="99"/>
    <w:unhideWhenUsed/>
    <w:rsid w:val="774F0B01"/>
    <w:rPr>
      <w:sz w:val="20"/>
      <w:szCs w:val="20"/>
    </w:rPr>
  </w:style>
  <w:style w:type="character" w:customStyle="1" w:styleId="CommentTextChar">
    <w:name w:val="Comment Text Char"/>
    <w:basedOn w:val="DefaultParagraphFont"/>
    <w:link w:val="CommentText"/>
    <w:uiPriority w:val="99"/>
    <w:rsid w:val="774F0B01"/>
    <w:rPr>
      <w:noProof w:val="0"/>
      <w:sz w:val="20"/>
      <w:szCs w:val="20"/>
      <w:lang w:val="en-GB"/>
    </w:rPr>
  </w:style>
  <w:style w:type="paragraph" w:styleId="CommentSubject">
    <w:name w:val="annotation subject"/>
    <w:basedOn w:val="CommentText"/>
    <w:next w:val="CommentText"/>
    <w:link w:val="CommentSubjectChar"/>
    <w:uiPriority w:val="99"/>
    <w:semiHidden/>
    <w:unhideWhenUsed/>
    <w:rsid w:val="774F0B01"/>
    <w:rPr>
      <w:b/>
      <w:bCs/>
    </w:rPr>
  </w:style>
  <w:style w:type="character" w:customStyle="1" w:styleId="CommentSubjectChar">
    <w:name w:val="Comment Subject Char"/>
    <w:basedOn w:val="CommentTextChar"/>
    <w:link w:val="CommentSubject"/>
    <w:uiPriority w:val="99"/>
    <w:semiHidden/>
    <w:rsid w:val="774F0B01"/>
    <w:rPr>
      <w:b/>
      <w:bCs/>
      <w:noProof w:val="0"/>
      <w:sz w:val="20"/>
      <w:szCs w:val="20"/>
      <w:lang w:val="en-GB"/>
    </w:rPr>
  </w:style>
  <w:style w:type="character" w:styleId="PlaceholderText">
    <w:name w:val="Placeholder Text"/>
    <w:basedOn w:val="DefaultParagraphFont"/>
    <w:uiPriority w:val="99"/>
    <w:semiHidden/>
    <w:rsid w:val="00C658B4"/>
    <w:rPr>
      <w:color w:val="808080"/>
    </w:rPr>
  </w:style>
  <w:style w:type="table" w:styleId="ListTable7Colorful-Accent1">
    <w:name w:val="List Table 7 Colorful Accent 1"/>
    <w:basedOn w:val="TableNormal"/>
    <w:uiPriority w:val="52"/>
    <w:rsid w:val="0015753D"/>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perText">
    <w:name w:val="PaperText"/>
    <w:basedOn w:val="2Normal"/>
    <w:link w:val="PaperTextChar"/>
    <w:uiPriority w:val="1"/>
    <w:qFormat/>
    <w:rsid w:val="774F0B01"/>
  </w:style>
  <w:style w:type="character" w:customStyle="1" w:styleId="2NormalChar">
    <w:name w:val="2_Normal Char"/>
    <w:basedOn w:val="DefaultParagraphFont"/>
    <w:link w:val="2Normal"/>
    <w:uiPriority w:val="1"/>
    <w:rsid w:val="774F0B01"/>
    <w:rPr>
      <w:rFonts w:ascii="Calibri" w:eastAsia="Times New Roman" w:hAnsi="Calibri" w:cs="Times New Roman"/>
      <w:noProof w:val="0"/>
      <w:sz w:val="24"/>
      <w:szCs w:val="24"/>
      <w:lang w:val="en-GB" w:eastAsia="en-GB"/>
    </w:rPr>
  </w:style>
  <w:style w:type="character" w:customStyle="1" w:styleId="PaperTextChar">
    <w:name w:val="PaperText Char"/>
    <w:basedOn w:val="2NormalChar"/>
    <w:link w:val="PaperText"/>
    <w:uiPriority w:val="1"/>
    <w:rsid w:val="774F0B01"/>
    <w:rPr>
      <w:rFonts w:ascii="Calibri" w:eastAsia="Times New Roman" w:hAnsi="Calibri" w:cs="Times New Roman"/>
      <w:noProof w:val="0"/>
      <w:sz w:val="24"/>
      <w:szCs w:val="24"/>
      <w:lang w:val="en-GB" w:eastAsia="en-GB"/>
    </w:rPr>
  </w:style>
  <w:style w:type="paragraph" w:styleId="Revision">
    <w:name w:val="Revision"/>
    <w:hidden/>
    <w:uiPriority w:val="99"/>
    <w:semiHidden/>
    <w:rsid w:val="00E27255"/>
    <w:rPr>
      <w:sz w:val="24"/>
      <w:szCs w:val="24"/>
    </w:rPr>
  </w:style>
  <w:style w:type="paragraph" w:styleId="TOC1">
    <w:name w:val="toc 1"/>
    <w:basedOn w:val="Normal"/>
    <w:next w:val="Normal"/>
    <w:uiPriority w:val="39"/>
    <w:unhideWhenUsed/>
    <w:rsid w:val="774F0B01"/>
    <w:pPr>
      <w:spacing w:after="100"/>
    </w:pPr>
  </w:style>
  <w:style w:type="paragraph" w:styleId="TOC2">
    <w:name w:val="toc 2"/>
    <w:basedOn w:val="Normal"/>
    <w:next w:val="Normal"/>
    <w:uiPriority w:val="39"/>
    <w:unhideWhenUsed/>
    <w:rsid w:val="774F0B01"/>
    <w:pPr>
      <w:spacing w:after="100"/>
      <w:ind w:left="220"/>
    </w:pPr>
  </w:style>
  <w:style w:type="paragraph" w:styleId="TOC3">
    <w:name w:val="toc 3"/>
    <w:basedOn w:val="Normal"/>
    <w:next w:val="Normal"/>
    <w:uiPriority w:val="39"/>
    <w:unhideWhenUsed/>
    <w:rsid w:val="774F0B01"/>
    <w:pPr>
      <w:spacing w:after="100"/>
      <w:ind w:left="440"/>
    </w:pPr>
  </w:style>
  <w:style w:type="paragraph" w:styleId="TOC4">
    <w:name w:val="toc 4"/>
    <w:basedOn w:val="Normal"/>
    <w:next w:val="Normal"/>
    <w:uiPriority w:val="39"/>
    <w:unhideWhenUsed/>
    <w:rsid w:val="774F0B01"/>
    <w:pPr>
      <w:spacing w:after="100"/>
      <w:ind w:left="660"/>
    </w:pPr>
  </w:style>
  <w:style w:type="paragraph" w:styleId="TOC5">
    <w:name w:val="toc 5"/>
    <w:basedOn w:val="Normal"/>
    <w:next w:val="Normal"/>
    <w:uiPriority w:val="39"/>
    <w:unhideWhenUsed/>
    <w:rsid w:val="774F0B01"/>
    <w:pPr>
      <w:spacing w:after="100"/>
      <w:ind w:left="880"/>
    </w:pPr>
  </w:style>
  <w:style w:type="paragraph" w:styleId="TOC6">
    <w:name w:val="toc 6"/>
    <w:basedOn w:val="Normal"/>
    <w:next w:val="Normal"/>
    <w:uiPriority w:val="39"/>
    <w:unhideWhenUsed/>
    <w:rsid w:val="774F0B01"/>
    <w:pPr>
      <w:spacing w:after="100"/>
      <w:ind w:left="1100"/>
    </w:pPr>
  </w:style>
  <w:style w:type="paragraph" w:styleId="TOC7">
    <w:name w:val="toc 7"/>
    <w:basedOn w:val="Normal"/>
    <w:next w:val="Normal"/>
    <w:uiPriority w:val="39"/>
    <w:unhideWhenUsed/>
    <w:rsid w:val="774F0B01"/>
    <w:pPr>
      <w:spacing w:after="100"/>
      <w:ind w:left="1320"/>
    </w:pPr>
  </w:style>
  <w:style w:type="paragraph" w:styleId="TOC8">
    <w:name w:val="toc 8"/>
    <w:basedOn w:val="Normal"/>
    <w:next w:val="Normal"/>
    <w:uiPriority w:val="39"/>
    <w:unhideWhenUsed/>
    <w:rsid w:val="774F0B01"/>
    <w:pPr>
      <w:spacing w:after="100"/>
      <w:ind w:left="1540"/>
    </w:pPr>
  </w:style>
  <w:style w:type="paragraph" w:styleId="TOC9">
    <w:name w:val="toc 9"/>
    <w:basedOn w:val="Normal"/>
    <w:next w:val="Normal"/>
    <w:uiPriority w:val="39"/>
    <w:unhideWhenUsed/>
    <w:rsid w:val="774F0B01"/>
    <w:pPr>
      <w:spacing w:after="100"/>
      <w:ind w:left="1760"/>
    </w:pPr>
  </w:style>
  <w:style w:type="paragraph" w:styleId="EndnoteText">
    <w:name w:val="endnote text"/>
    <w:basedOn w:val="Normal"/>
    <w:link w:val="EndnoteTextChar"/>
    <w:uiPriority w:val="99"/>
    <w:semiHidden/>
    <w:unhideWhenUsed/>
    <w:rsid w:val="774F0B01"/>
    <w:rPr>
      <w:sz w:val="20"/>
      <w:szCs w:val="20"/>
    </w:rPr>
  </w:style>
  <w:style w:type="character" w:customStyle="1" w:styleId="EndnoteTextChar">
    <w:name w:val="Endnote Text Char"/>
    <w:basedOn w:val="DefaultParagraphFont"/>
    <w:link w:val="EndnoteText"/>
    <w:uiPriority w:val="99"/>
    <w:semiHidden/>
    <w:rsid w:val="774F0B01"/>
    <w:rPr>
      <w:noProof w:val="0"/>
      <w:sz w:val="20"/>
      <w:szCs w:val="20"/>
      <w:lang w:val="en-GB"/>
    </w:rPr>
  </w:style>
  <w:style w:type="paragraph" w:styleId="Footer">
    <w:name w:val="footer"/>
    <w:basedOn w:val="Normal"/>
    <w:link w:val="FooterChar"/>
    <w:uiPriority w:val="99"/>
    <w:unhideWhenUsed/>
    <w:rsid w:val="774F0B01"/>
    <w:pPr>
      <w:tabs>
        <w:tab w:val="center" w:pos="4680"/>
        <w:tab w:val="right" w:pos="9360"/>
      </w:tabs>
    </w:pPr>
  </w:style>
  <w:style w:type="character" w:customStyle="1" w:styleId="FooterChar">
    <w:name w:val="Footer Char"/>
    <w:basedOn w:val="DefaultParagraphFont"/>
    <w:link w:val="Footer"/>
    <w:uiPriority w:val="99"/>
    <w:rsid w:val="774F0B01"/>
    <w:rPr>
      <w:noProof w:val="0"/>
      <w:lang w:val="en-GB"/>
    </w:rPr>
  </w:style>
  <w:style w:type="paragraph" w:styleId="Header">
    <w:name w:val="header"/>
    <w:basedOn w:val="Normal"/>
    <w:link w:val="HeaderChar"/>
    <w:uiPriority w:val="99"/>
    <w:unhideWhenUsed/>
    <w:rsid w:val="774F0B01"/>
    <w:pPr>
      <w:tabs>
        <w:tab w:val="center" w:pos="4680"/>
        <w:tab w:val="right" w:pos="9360"/>
      </w:tabs>
    </w:pPr>
  </w:style>
  <w:style w:type="character" w:customStyle="1" w:styleId="HeaderChar">
    <w:name w:val="Header Char"/>
    <w:basedOn w:val="DefaultParagraphFont"/>
    <w:link w:val="Header"/>
    <w:uiPriority w:val="99"/>
    <w:rsid w:val="774F0B01"/>
    <w:rPr>
      <w:noProof w:val="0"/>
      <w:lang w:val="en-GB"/>
    </w:rPr>
  </w:style>
  <w:style w:type="character" w:styleId="FollowedHyperlink">
    <w:name w:val="FollowedHyperlink"/>
    <w:basedOn w:val="DefaultParagraphFont"/>
    <w:uiPriority w:val="99"/>
    <w:semiHidden/>
    <w:unhideWhenUsed/>
    <w:rsid w:val="002B0374"/>
    <w:rPr>
      <w:color w:val="954F72" w:themeColor="followedHyperlink"/>
      <w:u w:val="single"/>
    </w:rPr>
  </w:style>
  <w:style w:type="paragraph" w:styleId="NormalWeb">
    <w:name w:val="Normal (Web)"/>
    <w:basedOn w:val="Normal"/>
    <w:uiPriority w:val="99"/>
    <w:semiHidden/>
    <w:unhideWhenUsed/>
    <w:rsid w:val="004008F6"/>
    <w:pPr>
      <w:spacing w:before="100" w:beforeAutospacing="1" w:after="100" w:afterAutospacing="1"/>
    </w:pPr>
    <w:rPr>
      <w:rFonts w:eastAsia="Times New Roman"/>
      <w:lang w:val="en-US"/>
    </w:rPr>
  </w:style>
  <w:style w:type="character" w:styleId="LineNumber">
    <w:name w:val="line number"/>
    <w:basedOn w:val="DefaultParagraphFont"/>
    <w:uiPriority w:val="99"/>
    <w:semiHidden/>
    <w:unhideWhenUsed/>
    <w:rsid w:val="00997446"/>
  </w:style>
  <w:style w:type="table" w:styleId="TableGrid">
    <w:name w:val="Table Grid"/>
    <w:basedOn w:val="TableNormal"/>
    <w:uiPriority w:val="59"/>
    <w:rsid w:val="00FC0CB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8361">
      <w:bodyDiv w:val="1"/>
      <w:marLeft w:val="0"/>
      <w:marRight w:val="0"/>
      <w:marTop w:val="0"/>
      <w:marBottom w:val="0"/>
      <w:divBdr>
        <w:top w:val="none" w:sz="0" w:space="0" w:color="auto"/>
        <w:left w:val="none" w:sz="0" w:space="0" w:color="auto"/>
        <w:bottom w:val="none" w:sz="0" w:space="0" w:color="auto"/>
        <w:right w:val="none" w:sz="0" w:space="0" w:color="auto"/>
      </w:divBdr>
      <w:divsChild>
        <w:div w:id="1381244550">
          <w:marLeft w:val="480"/>
          <w:marRight w:val="0"/>
          <w:marTop w:val="0"/>
          <w:marBottom w:val="0"/>
          <w:divBdr>
            <w:top w:val="none" w:sz="0" w:space="0" w:color="auto"/>
            <w:left w:val="none" w:sz="0" w:space="0" w:color="auto"/>
            <w:bottom w:val="none" w:sz="0" w:space="0" w:color="auto"/>
            <w:right w:val="none" w:sz="0" w:space="0" w:color="auto"/>
          </w:divBdr>
          <w:divsChild>
            <w:div w:id="12393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6835">
      <w:bodyDiv w:val="1"/>
      <w:marLeft w:val="0"/>
      <w:marRight w:val="0"/>
      <w:marTop w:val="0"/>
      <w:marBottom w:val="0"/>
      <w:divBdr>
        <w:top w:val="none" w:sz="0" w:space="0" w:color="auto"/>
        <w:left w:val="none" w:sz="0" w:space="0" w:color="auto"/>
        <w:bottom w:val="none" w:sz="0" w:space="0" w:color="auto"/>
        <w:right w:val="none" w:sz="0" w:space="0" w:color="auto"/>
      </w:divBdr>
    </w:div>
    <w:div w:id="1123813473">
      <w:bodyDiv w:val="1"/>
      <w:marLeft w:val="0"/>
      <w:marRight w:val="0"/>
      <w:marTop w:val="0"/>
      <w:marBottom w:val="0"/>
      <w:divBdr>
        <w:top w:val="none" w:sz="0" w:space="0" w:color="auto"/>
        <w:left w:val="none" w:sz="0" w:space="0" w:color="auto"/>
        <w:bottom w:val="none" w:sz="0" w:space="0" w:color="auto"/>
        <w:right w:val="none" w:sz="0" w:space="0" w:color="auto"/>
      </w:divBdr>
    </w:div>
    <w:div w:id="1620061648">
      <w:bodyDiv w:val="1"/>
      <w:marLeft w:val="0"/>
      <w:marRight w:val="0"/>
      <w:marTop w:val="0"/>
      <w:marBottom w:val="0"/>
      <w:divBdr>
        <w:top w:val="none" w:sz="0" w:space="0" w:color="auto"/>
        <w:left w:val="none" w:sz="0" w:space="0" w:color="auto"/>
        <w:bottom w:val="none" w:sz="0" w:space="0" w:color="auto"/>
        <w:right w:val="none" w:sz="0" w:space="0" w:color="auto"/>
      </w:divBdr>
    </w:div>
    <w:div w:id="1655255446">
      <w:bodyDiv w:val="1"/>
      <w:marLeft w:val="0"/>
      <w:marRight w:val="0"/>
      <w:marTop w:val="0"/>
      <w:marBottom w:val="0"/>
      <w:divBdr>
        <w:top w:val="none" w:sz="0" w:space="0" w:color="auto"/>
        <w:left w:val="none" w:sz="0" w:space="0" w:color="auto"/>
        <w:bottom w:val="none" w:sz="0" w:space="0" w:color="auto"/>
        <w:right w:val="none" w:sz="0" w:space="0" w:color="auto"/>
      </w:divBdr>
    </w:div>
    <w:div w:id="214539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ee.fr/fr/statistiques/2015691"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thub.com/witch-team/NAVIGATE-inequality-dataset"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1.xm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38F7234EFB8AC469EEFEB766EC0A8C3" ma:contentTypeVersion="6" ma:contentTypeDescription="Creare un nuovo documento." ma:contentTypeScope="" ma:versionID="12194ef67ec01260f1d07422ca8ff92a">
  <xsd:schema xmlns:xsd="http://www.w3.org/2001/XMLSchema" xmlns:xs="http://www.w3.org/2001/XMLSchema" xmlns:p="http://schemas.microsoft.com/office/2006/metadata/properties" xmlns:ns3="1780799d-0aff-4182-baec-eab5ff1f328a" xmlns:ns4="f2bd6f4f-0a14-464f-9f03-1a889f963534" targetNamespace="http://schemas.microsoft.com/office/2006/metadata/properties" ma:root="true" ma:fieldsID="6515aca919416705a3fdd06b922c6124" ns3:_="" ns4:_="">
    <xsd:import namespace="1780799d-0aff-4182-baec-eab5ff1f328a"/>
    <xsd:import namespace="f2bd6f4f-0a14-464f-9f03-1a889f96353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0799d-0aff-4182-baec-eab5ff1f3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bd6f4f-0a14-464f-9f03-1a889f96353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780799d-0aff-4182-baec-eab5ff1f328a" xsi:nil="true"/>
  </documentManagement>
</p:properties>
</file>

<file path=customXml/itemProps1.xml><?xml version="1.0" encoding="utf-8"?>
<ds:datastoreItem xmlns:ds="http://schemas.openxmlformats.org/officeDocument/2006/customXml" ds:itemID="{3990E990-BC18-4B6C-A38E-36927445415C}">
  <ds:schemaRefs>
    <ds:schemaRef ds:uri="http://schemas.openxmlformats.org/officeDocument/2006/bibliography"/>
  </ds:schemaRefs>
</ds:datastoreItem>
</file>

<file path=customXml/itemProps2.xml><?xml version="1.0" encoding="utf-8"?>
<ds:datastoreItem xmlns:ds="http://schemas.openxmlformats.org/officeDocument/2006/customXml" ds:itemID="{0AE27A30-AFAD-47C1-861C-88A57FF6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0799d-0aff-4182-baec-eab5ff1f328a"/>
    <ds:schemaRef ds:uri="f2bd6f4f-0a14-464f-9f03-1a889f963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9063D-AB76-427E-B7D9-52A277A5AA50}">
  <ds:schemaRefs>
    <ds:schemaRef ds:uri="http://schemas.microsoft.com/sharepoint/v3/contenttype/forms"/>
  </ds:schemaRefs>
</ds:datastoreItem>
</file>

<file path=customXml/itemProps4.xml><?xml version="1.0" encoding="utf-8"?>
<ds:datastoreItem xmlns:ds="http://schemas.openxmlformats.org/officeDocument/2006/customXml" ds:itemID="{75A4F754-8C7A-47C1-B8B8-3565E7B0475E}">
  <ds:schemaRefs>
    <ds:schemaRef ds:uri="http://schemas.microsoft.com/office/2006/metadata/properties"/>
    <ds:schemaRef ds:uri="http://schemas.microsoft.com/office/infopath/2007/PartnerControls"/>
    <ds:schemaRef ds:uri="1780799d-0aff-4182-baec-eab5ff1f328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5264</Words>
  <Characters>30011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35205</CharactersWithSpaces>
  <SharedDoc>false</SharedDoc>
  <HLinks>
    <vt:vector size="18" baseType="variant">
      <vt:variant>
        <vt:i4>5111820</vt:i4>
      </vt:variant>
      <vt:variant>
        <vt:i4>186</vt:i4>
      </vt:variant>
      <vt:variant>
        <vt:i4>0</vt:i4>
      </vt:variant>
      <vt:variant>
        <vt:i4>5</vt:i4>
      </vt:variant>
      <vt:variant>
        <vt:lpwstr>https://www.insee.fr/fr/statistiques/2015691</vt:lpwstr>
      </vt:variant>
      <vt:variant>
        <vt:lpwstr/>
      </vt:variant>
      <vt:variant>
        <vt:i4>524364</vt:i4>
      </vt:variant>
      <vt:variant>
        <vt:i4>183</vt:i4>
      </vt:variant>
      <vt:variant>
        <vt:i4>0</vt:i4>
      </vt:variant>
      <vt:variant>
        <vt:i4>5</vt:i4>
      </vt:variant>
      <vt:variant>
        <vt:lpwstr>https://github.com/witch-team/NAVIGATE-inequality-dataset</vt:lpwstr>
      </vt:variant>
      <vt:variant>
        <vt:lpwstr/>
      </vt:variant>
      <vt:variant>
        <vt:i4>4915231</vt:i4>
      </vt:variant>
      <vt:variant>
        <vt:i4>165</vt:i4>
      </vt:variant>
      <vt:variant>
        <vt:i4>0</vt:i4>
      </vt:variant>
      <vt:variant>
        <vt:i4>5</vt:i4>
      </vt:variant>
      <vt:variant>
        <vt:lpwstr>https://www.ercevolution.energy/ipcc-sixth-assessment-report/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Emmerling</dc:creator>
  <cp:keywords/>
  <dc:description/>
  <cp:lastModifiedBy>Nilesh Nawale</cp:lastModifiedBy>
  <cp:revision>2</cp:revision>
  <cp:lastPrinted>2024-01-16T11:45:00Z</cp:lastPrinted>
  <dcterms:created xsi:type="dcterms:W3CDTF">2024-01-24T05:28:00Z</dcterms:created>
  <dcterms:modified xsi:type="dcterms:W3CDTF">2024-01-24T05:28:00Z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id="dDpuq6m2"/&gt;&lt;style id="http://www.zotero.org/styles/harvard-cite-them-right" hasBibliography="1" bibliographyStyleHasBeenSet="1"/&gt;&lt;prefs&gt;&lt;pref name="fieldType" value="Field"/&gt;&lt;/prefs&gt;&lt;/data&gt;</vt:lpwstr>
  </property>
  <property fmtid="{D5CDD505-2E9C-101B-9397-08002B2CF9AE}" pid="3" name="ContentTypeId">
    <vt:lpwstr>0x010100338F7234EFB8AC469EEFEB766EC0A8C3</vt:lpwstr>
  </property>
</Properties>
</file>