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11A1D" w14:textId="432BD1F9" w:rsidR="001F41DF" w:rsidRDefault="001F41DF" w:rsidP="001F41DF">
      <w:pPr>
        <w:adjustRightInd w:val="0"/>
        <w:snapToGrid w:val="0"/>
        <w:spacing w:before="240" w:after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Graphic abstract: </w:t>
      </w:r>
      <w:r w:rsidR="007314B0">
        <w:rPr>
          <w:rFonts w:asciiTheme="majorBidi" w:hAnsiTheme="majorBidi" w:cstheme="majorBidi"/>
          <w:sz w:val="24"/>
          <w:szCs w:val="24"/>
        </w:rPr>
        <w:t>I</w:t>
      </w:r>
      <w:r w:rsidRPr="008D1421">
        <w:rPr>
          <w:rFonts w:asciiTheme="majorBidi" w:hAnsiTheme="majorBidi" w:cstheme="majorBidi"/>
          <w:sz w:val="24"/>
          <w:szCs w:val="24"/>
        </w:rPr>
        <w:t xml:space="preserve">ntravenous MSC administration immediately after repeated TBI onset ameliorated TBI-induced visual dysfunction, retinopathy, and neurological disorders in rats. </w:t>
      </w:r>
      <w:r w:rsidRPr="008D1421">
        <w:rPr>
          <w:rFonts w:asciiTheme="majorBidi" w:hAnsiTheme="majorBidi" w:cstheme="majorBidi"/>
          <w:i/>
          <w:iCs/>
          <w:sz w:val="24"/>
          <w:szCs w:val="24"/>
        </w:rPr>
        <w:t>In vitro</w:t>
      </w:r>
      <w:r w:rsidRPr="008D1421">
        <w:rPr>
          <w:rFonts w:asciiTheme="majorBidi" w:hAnsiTheme="majorBidi" w:cstheme="majorBidi"/>
          <w:sz w:val="24"/>
          <w:szCs w:val="24"/>
        </w:rPr>
        <w:t xml:space="preserve"> results further confirmed that stretch injury caused reduce</w:t>
      </w:r>
      <w:r w:rsidRPr="008D1421">
        <w:rPr>
          <w:rFonts w:asciiTheme="majorBidi" w:hAnsiTheme="majorBidi" w:cstheme="majorBidi" w:hint="eastAsia"/>
          <w:sz w:val="24"/>
          <w:szCs w:val="24"/>
        </w:rPr>
        <w:t xml:space="preserve">d cell viability, neuronal apoptosis and autophagy, mitochondrial distress, increased intracellular radical oxygen species contents, and decreased </w:t>
      </w:r>
      <w:r w:rsidRPr="008D1421">
        <w:rPr>
          <w:rFonts w:ascii="Symbol" w:hAnsi="Symbol" w:cstheme="majorBidi"/>
          <w:sz w:val="24"/>
          <w:szCs w:val="24"/>
        </w:rPr>
        <w:t></w:t>
      </w:r>
      <w:r w:rsidRPr="008D1421">
        <w:rPr>
          <w:rFonts w:asciiTheme="majorBidi" w:hAnsiTheme="majorBidi" w:cstheme="majorBidi" w:hint="eastAsia"/>
          <w:sz w:val="24"/>
          <w:szCs w:val="24"/>
        </w:rPr>
        <w:t>-catenin expression in cultured R28 cells. Coculturing the MSC with the stretch injured R28 cells, in additi</w:t>
      </w:r>
      <w:r w:rsidRPr="008D1421">
        <w:rPr>
          <w:rFonts w:asciiTheme="majorBidi" w:hAnsiTheme="majorBidi" w:cstheme="majorBidi"/>
          <w:sz w:val="24"/>
          <w:szCs w:val="24"/>
        </w:rPr>
        <w:t>on to inducing increased insulin-like growth factor-binding protein (IGFBP)-4, IGFBP-6, vascular endothelial-derived growth factor (VEGF), and hepatocyte growth factor (HGF) and their associated receptors (including IGF-1R and VEGFR2, but not C-Met) expres</w:t>
      </w:r>
      <w:r w:rsidRPr="008D1421">
        <w:rPr>
          <w:rFonts w:asciiTheme="majorBidi" w:hAnsiTheme="majorBidi" w:cstheme="majorBidi" w:hint="eastAsia"/>
          <w:sz w:val="24"/>
          <w:szCs w:val="24"/>
        </w:rPr>
        <w:t>sion, as well as reversed the cell death, mitochondrial distress, oxidative stress, and decreased</w:t>
      </w:r>
      <w:r w:rsidRPr="008D1421">
        <w:rPr>
          <w:rFonts w:ascii="Symbol" w:hAnsi="Symbol" w:cstheme="majorBidi"/>
          <w:sz w:val="24"/>
          <w:szCs w:val="24"/>
        </w:rPr>
        <w:t xml:space="preserve"> </w:t>
      </w:r>
      <w:r w:rsidRPr="008D1421">
        <w:rPr>
          <w:rFonts w:ascii="Symbol" w:hAnsi="Symbol" w:cstheme="majorBidi"/>
          <w:sz w:val="24"/>
          <w:szCs w:val="24"/>
        </w:rPr>
        <w:t></w:t>
      </w:r>
      <w:r w:rsidRPr="008D1421">
        <w:rPr>
          <w:rFonts w:asciiTheme="majorBidi" w:hAnsiTheme="majorBidi" w:cstheme="majorBidi" w:hint="eastAsia"/>
          <w:sz w:val="24"/>
          <w:szCs w:val="24"/>
        </w:rPr>
        <w:t xml:space="preserve">-catenin expression. Our </w:t>
      </w:r>
      <w:r w:rsidRPr="008D1421">
        <w:rPr>
          <w:rFonts w:asciiTheme="majorBidi" w:hAnsiTheme="majorBidi" w:cstheme="majorBidi" w:hint="eastAsia"/>
          <w:i/>
          <w:iCs/>
          <w:sz w:val="24"/>
          <w:szCs w:val="24"/>
        </w:rPr>
        <w:t>in vivo</w:t>
      </w:r>
      <w:r w:rsidRPr="008D1421">
        <w:rPr>
          <w:rFonts w:asciiTheme="majorBidi" w:hAnsiTheme="majorBidi" w:cstheme="majorBidi" w:hint="eastAsia"/>
          <w:sz w:val="24"/>
          <w:szCs w:val="24"/>
        </w:rPr>
        <w:t xml:space="preserve"> and </w:t>
      </w:r>
      <w:r w:rsidRPr="008D1421">
        <w:rPr>
          <w:rFonts w:asciiTheme="majorBidi" w:hAnsiTheme="majorBidi" w:cstheme="majorBidi" w:hint="eastAsia"/>
          <w:i/>
          <w:iCs/>
          <w:sz w:val="24"/>
          <w:szCs w:val="24"/>
        </w:rPr>
        <w:t>in vitro</w:t>
      </w:r>
      <w:r w:rsidRPr="008D1421">
        <w:rPr>
          <w:rFonts w:asciiTheme="majorBidi" w:hAnsiTheme="majorBidi" w:cstheme="majorBidi" w:hint="eastAsia"/>
          <w:sz w:val="24"/>
          <w:szCs w:val="24"/>
        </w:rPr>
        <w:t xml:space="preserve"> data indicate that MSC might ameliorate visual dysfunction in rats with neurotrauma via broad normalization of retinal </w:t>
      </w:r>
      <w:r w:rsidRPr="008D1421">
        <w:rPr>
          <w:rFonts w:ascii="Symbol" w:hAnsi="Symbol" w:cstheme="majorBidi"/>
          <w:sz w:val="24"/>
          <w:szCs w:val="24"/>
        </w:rPr>
        <w:t></w:t>
      </w:r>
      <w:r w:rsidRPr="008D1421">
        <w:rPr>
          <w:rFonts w:asciiTheme="majorBidi" w:hAnsiTheme="majorBidi" w:cstheme="majorBidi" w:hint="eastAsia"/>
          <w:sz w:val="24"/>
          <w:szCs w:val="24"/>
        </w:rPr>
        <w:t>-catenin coupled with IGFBP and VEGF signaling pathways.</w:t>
      </w:r>
    </w:p>
    <w:p w14:paraId="39B514C0" w14:textId="6FA12B76" w:rsidR="001F41DF" w:rsidRDefault="001F41DF" w:rsidP="001F41DF">
      <w:pPr>
        <w:adjustRightInd w:val="0"/>
        <w:snapToGrid w:val="0"/>
        <w:spacing w:before="240" w:after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618E57D5" wp14:editId="57822B33">
            <wp:extent cx="5943600" cy="3616960"/>
            <wp:effectExtent l="0" t="0" r="0" b="2540"/>
            <wp:docPr id="765451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9ECE6" w14:textId="77777777" w:rsidR="00704E88" w:rsidRPr="001F41DF" w:rsidRDefault="00704E88"/>
    <w:sectPr w:rsidR="00704E88" w:rsidRPr="001F41DF" w:rsidSect="00F6046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EkgYmJhbmlgaWFko6SsGpxcWZ+XkgBYa1ALfa520sAAAA"/>
  </w:docVars>
  <w:rsids>
    <w:rsidRoot w:val="001F41DF"/>
    <w:rsid w:val="001F41DF"/>
    <w:rsid w:val="00704E88"/>
    <w:rsid w:val="0073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9257D"/>
  <w15:chartTrackingRefBased/>
  <w15:docId w15:val="{1110C163-6B25-4514-AA40-0C4A83C6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1DF"/>
    <w:pPr>
      <w:spacing w:line="276" w:lineRule="auto"/>
    </w:pPr>
    <w:rPr>
      <w:rFonts w:ascii="Arial" w:hAnsi="Arial" w:cs="Arial"/>
      <w:kern w:val="0"/>
      <w:sz w:val="22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Ching-Ping Chang</dc:creator>
  <cp:keywords/>
  <dc:description/>
  <cp:lastModifiedBy>Ching-Ping Chang</cp:lastModifiedBy>
  <cp:revision>2</cp:revision>
  <dcterms:created xsi:type="dcterms:W3CDTF">2023-09-02T07:28:00Z</dcterms:created>
  <dcterms:modified xsi:type="dcterms:W3CDTF">2023-09-02T07:29:00Z</dcterms:modified>
</cp:coreProperties>
</file>