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FDA7F" w14:textId="77777777" w:rsidR="00A041A3" w:rsidRPr="00A463EE" w:rsidRDefault="00A041A3" w:rsidP="00A041A3">
      <w:pPr>
        <w:pStyle w:val="BodyText"/>
        <w:spacing w:line="360" w:lineRule="auto"/>
        <w:rPr>
          <w:rFonts w:asciiTheme="minorHAnsi" w:hAnsiTheme="minorHAnsi" w:cstheme="minorHAnsi"/>
        </w:rPr>
      </w:pPr>
      <w:r>
        <w:rPr>
          <w:rFonts w:asciiTheme="minorHAnsi" w:hAnsiTheme="minorHAnsi" w:cstheme="minorHAnsi"/>
          <w:b/>
          <w:bCs/>
        </w:rPr>
        <w:t xml:space="preserve">Extended data - </w:t>
      </w:r>
      <w:r w:rsidRPr="00A463EE">
        <w:rPr>
          <w:rFonts w:asciiTheme="minorHAnsi" w:hAnsiTheme="minorHAnsi" w:cstheme="minorHAnsi"/>
          <w:b/>
          <w:bCs/>
        </w:rPr>
        <w:t>Methods</w:t>
      </w:r>
      <w:r w:rsidRPr="00A463EE">
        <w:rPr>
          <w:rFonts w:asciiTheme="minorHAnsi" w:hAnsiTheme="minorHAnsi" w:cstheme="minorHAnsi"/>
        </w:rPr>
        <w:t>:</w:t>
      </w:r>
      <w:r>
        <w:rPr>
          <w:rFonts w:asciiTheme="minorHAnsi" w:hAnsiTheme="minorHAnsi" w:cstheme="minorHAnsi"/>
        </w:rPr>
        <w:t xml:space="preserve"> </w:t>
      </w:r>
    </w:p>
    <w:p w14:paraId="6D9E0E34" w14:textId="77777777" w:rsidR="00A041A3" w:rsidRPr="00A463EE" w:rsidRDefault="00A041A3" w:rsidP="00A041A3">
      <w:pPr>
        <w:pStyle w:val="BodyText"/>
        <w:spacing w:line="360" w:lineRule="auto"/>
        <w:rPr>
          <w:rFonts w:asciiTheme="minorHAnsi" w:hAnsiTheme="minorHAnsi" w:cstheme="minorHAnsi"/>
          <w:b/>
          <w:bCs/>
          <w:color w:val="000000" w:themeColor="text1"/>
        </w:rPr>
      </w:pPr>
      <w:r w:rsidRPr="00A463EE">
        <w:rPr>
          <w:rFonts w:asciiTheme="minorHAnsi" w:hAnsiTheme="minorHAnsi" w:cstheme="minorHAnsi"/>
          <w:b/>
          <w:bCs/>
          <w:color w:val="000000" w:themeColor="text1"/>
        </w:rPr>
        <w:t xml:space="preserve">Elicitation of Indigenous Knowledge </w:t>
      </w:r>
    </w:p>
    <w:p w14:paraId="6393D973" w14:textId="77777777" w:rsidR="00A041A3" w:rsidRPr="00A463EE" w:rsidRDefault="00A041A3" w:rsidP="00A041A3">
      <w:pPr>
        <w:spacing w:line="360" w:lineRule="auto"/>
        <w:rPr>
          <w:rFonts w:cstheme="minorHAnsi"/>
          <w:color w:val="000000" w:themeColor="text1"/>
          <w:sz w:val="24"/>
          <w:szCs w:val="24"/>
        </w:rPr>
      </w:pPr>
      <w:r w:rsidRPr="00A463EE">
        <w:rPr>
          <w:rFonts w:asciiTheme="minorHAnsi" w:hAnsiTheme="minorHAnsi" w:cstheme="minorHAnsi"/>
          <w:color w:val="000000" w:themeColor="text1"/>
          <w:sz w:val="24"/>
          <w:szCs w:val="24"/>
        </w:rPr>
        <w:t xml:space="preserve">A range of collaborative research methods were employed throughout this study and where possible Indigenous-led methods </w:t>
      </w:r>
      <w:r>
        <w:rPr>
          <w:rFonts w:asciiTheme="minorHAnsi" w:hAnsiTheme="minorHAnsi" w:cstheme="minorHAnsi"/>
          <w:color w:val="000000" w:themeColor="text1"/>
          <w:sz w:val="24"/>
          <w:szCs w:val="24"/>
        </w:rPr>
        <w:t>were</w:t>
      </w:r>
      <w:r w:rsidRPr="00A463EE">
        <w:rPr>
          <w:rFonts w:asciiTheme="minorHAnsi" w:hAnsiTheme="minorHAnsi" w:cstheme="minorHAnsi"/>
          <w:color w:val="000000" w:themeColor="text1"/>
          <w:sz w:val="24"/>
          <w:szCs w:val="24"/>
        </w:rPr>
        <w:t xml:space="preserve"> the foundations, to ensure mutual benefits are achieved for all participants engaged. The study </w:t>
      </w:r>
      <w:r>
        <w:rPr>
          <w:rFonts w:asciiTheme="minorHAnsi" w:hAnsiTheme="minorHAnsi" w:cstheme="minorHAnsi"/>
          <w:color w:val="000000" w:themeColor="text1"/>
          <w:sz w:val="24"/>
          <w:szCs w:val="24"/>
        </w:rPr>
        <w:t>was grounded in</w:t>
      </w:r>
      <w:r w:rsidRPr="00A463EE">
        <w:rPr>
          <w:rFonts w:asciiTheme="minorHAnsi" w:hAnsiTheme="minorHAnsi" w:cstheme="minorHAnsi"/>
          <w:color w:val="000000" w:themeColor="text1"/>
          <w:sz w:val="24"/>
          <w:szCs w:val="24"/>
        </w:rPr>
        <w:t xml:space="preserve"> the four key principles that empower Indigenous peoples to drive positive outcomes for biodiversity and people on Country</w:t>
      </w:r>
      <w:r w:rsidRPr="00A463EE">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{"citationID":"Fr1SV6ZZ","properties":{"formattedCitation":"\\super 26\\nosupersub{}","plainCitation":"26","noteIndex":0},"citationItems":[{"id":192,"uris":["http://zotero.org/users/6363004/items/SWZAG7JW"],"itemData":{"id":192,"type":"article-journal","language":"en","page":"271","source":"Zotero","title":"Indigenous knowledge and governance in protected areas in Australia and Sweden","author":[{"family":"Talbot","given":"Leah Dawn"}],"issued":{"date-parts":[["2017"]]}}}],"schema":"https://github.com/citation-style-language/schema/raw/master/csl-citation.json"} </w:instrText>
      </w:r>
      <w:r w:rsidRPr="00A463EE">
        <w:rPr>
          <w:rFonts w:asciiTheme="minorHAnsi" w:hAnsiTheme="minorHAnsi" w:cstheme="minorHAnsi"/>
          <w:color w:val="000000" w:themeColor="text1"/>
          <w:sz w:val="24"/>
          <w:szCs w:val="24"/>
        </w:rPr>
        <w:fldChar w:fldCharType="separate"/>
      </w:r>
      <w:r w:rsidRPr="00700CAD">
        <w:rPr>
          <w:rFonts w:hAnsiTheme="minorHAnsi"/>
          <w:color w:val="000000"/>
          <w:sz w:val="24"/>
          <w:vertAlign w:val="superscript"/>
          <w:lang w:val="en-GB"/>
        </w:rPr>
        <w:t>26</w:t>
      </w:r>
      <w:r w:rsidRPr="00A463EE">
        <w:rPr>
          <w:rFonts w:asciiTheme="minorHAnsi" w:hAnsiTheme="minorHAnsi" w:cstheme="minorHAnsi"/>
          <w:color w:val="000000" w:themeColor="text1"/>
          <w:sz w:val="24"/>
          <w:szCs w:val="24"/>
        </w:rPr>
        <w:fldChar w:fldCharType="end"/>
      </w:r>
      <w:r w:rsidRPr="00A463EE">
        <w:rPr>
          <w:rFonts w:asciiTheme="minorHAnsi" w:hAnsiTheme="minorHAnsi" w:cstheme="minorHAnsi"/>
          <w:color w:val="000000" w:themeColor="text1"/>
          <w:sz w:val="24"/>
          <w:szCs w:val="24"/>
        </w:rPr>
        <w:t>; to benefit the Indigenous community; to be undertaken for and with the community, in line with their aspirations, needs and interests; to promote their cultural values; and to be emancipatory</w:t>
      </w:r>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{"citationID":"ss1VLzsn","properties":{"formattedCitation":"\\super 26\\nosupersub{}","plainCitation":"26","noteIndex":0},"citationItems":[{"id":192,"uris":["http://zotero.org/users/6363004/items/SWZAG7JW"],"itemData":{"id":192,"type":"article-journal","language":"en","page":"271","source":"Zotero","title":"Indigenous knowledge and governance in protected areas in Australia and Sweden","author":[{"family":"Talbot","given":"Leah Dawn"}],"issued":{"date-parts":[["2017"]]}}}],"schema":"https://github.com/citation-style-language/schema/raw/master/csl-citation.json"} </w:instrText>
      </w:r>
      <w:r>
        <w:rPr>
          <w:rFonts w:asciiTheme="minorHAnsi" w:hAnsiTheme="minorHAnsi" w:cstheme="minorHAnsi"/>
          <w:color w:val="000000" w:themeColor="text1"/>
          <w:sz w:val="24"/>
          <w:szCs w:val="24"/>
        </w:rPr>
        <w:fldChar w:fldCharType="separate"/>
      </w:r>
      <w:r w:rsidRPr="00700CAD">
        <w:rPr>
          <w:rFonts w:hAnsiTheme="minorHAnsi"/>
          <w:color w:val="000000"/>
          <w:sz w:val="24"/>
          <w:vertAlign w:val="superscript"/>
          <w:lang w:val="en-GB"/>
        </w:rPr>
        <w:t>26</w:t>
      </w:r>
      <w:r>
        <w:rPr>
          <w:rFonts w:asciiTheme="minorHAnsi" w:hAnsiTheme="minorHAnsi" w:cstheme="minorHAnsi"/>
          <w:color w:val="000000" w:themeColor="text1"/>
          <w:sz w:val="24"/>
          <w:szCs w:val="24"/>
        </w:rPr>
        <w:fldChar w:fldCharType="end"/>
      </w:r>
      <w:r w:rsidRPr="00A463EE">
        <w:rPr>
          <w:rFonts w:asciiTheme="minorHAnsi" w:hAnsiTheme="minorHAnsi" w:cstheme="minorHAnsi"/>
          <w:color w:val="000000" w:themeColor="text1"/>
          <w:sz w:val="24"/>
          <w:szCs w:val="24"/>
        </w:rPr>
        <w:t>.</w:t>
      </w:r>
      <w:r w:rsidRPr="00A463EE">
        <w:rPr>
          <w:rFonts w:cstheme="minorHAnsi"/>
          <w:color w:val="000000" w:themeColor="text1"/>
          <w:sz w:val="24"/>
          <w:szCs w:val="24"/>
        </w:rPr>
        <w:t xml:space="preserve"> </w:t>
      </w:r>
    </w:p>
    <w:p w14:paraId="3A09F4A8" w14:textId="77777777" w:rsidR="00A041A3" w:rsidRPr="00A463EE" w:rsidRDefault="00A041A3" w:rsidP="00A041A3">
      <w:pPr>
        <w:spacing w:line="360" w:lineRule="auto"/>
        <w:rPr>
          <w:rFonts w:asciiTheme="minorHAnsi" w:hAnsiTheme="minorHAnsi" w:cstheme="minorHAnsi"/>
          <w:color w:val="000000" w:themeColor="text1"/>
          <w:sz w:val="24"/>
          <w:szCs w:val="24"/>
        </w:rPr>
      </w:pPr>
    </w:p>
    <w:p w14:paraId="2AFBAFBE" w14:textId="77777777" w:rsidR="00A041A3" w:rsidRPr="00A463EE" w:rsidRDefault="00A041A3" w:rsidP="00A041A3">
      <w:pPr>
        <w:spacing w:line="360" w:lineRule="auto"/>
        <w:rPr>
          <w:rFonts w:asciiTheme="minorHAnsi" w:hAnsiTheme="minorHAnsi" w:cstheme="minorHAnsi"/>
          <w:color w:val="000000" w:themeColor="text1"/>
          <w:sz w:val="24"/>
          <w:szCs w:val="24"/>
        </w:rPr>
      </w:pPr>
      <w:r w:rsidRPr="00A463EE">
        <w:rPr>
          <w:rFonts w:asciiTheme="minorHAnsi" w:hAnsiTheme="minorHAnsi" w:cstheme="minorHAnsi"/>
          <w:color w:val="000000" w:themeColor="text1"/>
          <w:sz w:val="24"/>
          <w:szCs w:val="24"/>
        </w:rPr>
        <w:t xml:space="preserve">To guide our workshops we used a </w:t>
      </w:r>
      <w:r>
        <w:rPr>
          <w:rFonts w:asciiTheme="minorHAnsi" w:hAnsiTheme="minorHAnsi" w:cstheme="minorHAnsi"/>
          <w:color w:val="000000" w:themeColor="text1"/>
          <w:sz w:val="24"/>
          <w:szCs w:val="24"/>
        </w:rPr>
        <w:t>s</w:t>
      </w:r>
      <w:r w:rsidRPr="00A463EE">
        <w:rPr>
          <w:rFonts w:asciiTheme="minorHAnsi" w:hAnsiTheme="minorHAnsi" w:cstheme="minorHAnsi"/>
          <w:color w:val="000000" w:themeColor="text1"/>
          <w:sz w:val="24"/>
          <w:szCs w:val="24"/>
        </w:rPr>
        <w:t xml:space="preserve">tructured </w:t>
      </w:r>
      <w:r>
        <w:rPr>
          <w:rFonts w:asciiTheme="minorHAnsi" w:hAnsiTheme="minorHAnsi" w:cstheme="minorHAnsi"/>
          <w:color w:val="000000" w:themeColor="text1"/>
          <w:sz w:val="24"/>
          <w:szCs w:val="24"/>
        </w:rPr>
        <w:t>d</w:t>
      </w:r>
      <w:r w:rsidRPr="00A463EE">
        <w:rPr>
          <w:rFonts w:asciiTheme="minorHAnsi" w:hAnsiTheme="minorHAnsi" w:cstheme="minorHAnsi"/>
          <w:color w:val="000000" w:themeColor="text1"/>
          <w:sz w:val="24"/>
          <w:szCs w:val="24"/>
        </w:rPr>
        <w:t>ecision-</w:t>
      </w:r>
      <w:r>
        <w:rPr>
          <w:rFonts w:asciiTheme="minorHAnsi" w:hAnsiTheme="minorHAnsi" w:cstheme="minorHAnsi"/>
          <w:color w:val="000000" w:themeColor="text1"/>
          <w:sz w:val="24"/>
          <w:szCs w:val="24"/>
        </w:rPr>
        <w:t>m</w:t>
      </w:r>
      <w:r w:rsidRPr="00A463EE">
        <w:rPr>
          <w:rFonts w:asciiTheme="minorHAnsi" w:hAnsiTheme="minorHAnsi" w:cstheme="minorHAnsi"/>
          <w:color w:val="000000" w:themeColor="text1"/>
          <w:sz w:val="24"/>
          <w:szCs w:val="24"/>
        </w:rPr>
        <w:t>aking</w:t>
      </w:r>
      <w:r w:rsidRPr="00A463EE" w:rsidDel="002B0F3C">
        <w:rPr>
          <w:rFonts w:asciiTheme="minorHAnsi" w:hAnsiTheme="minorHAnsi" w:cstheme="minorHAnsi"/>
          <w:color w:val="000000" w:themeColor="text1"/>
          <w:sz w:val="24"/>
          <w:szCs w:val="24"/>
        </w:rPr>
        <w:t xml:space="preserve"> </w:t>
      </w:r>
      <w:r w:rsidRPr="00A463EE">
        <w:rPr>
          <w:rFonts w:asciiTheme="minorHAnsi" w:hAnsiTheme="minorHAnsi" w:cstheme="minorHAnsi"/>
          <w:color w:val="000000" w:themeColor="text1"/>
          <w:sz w:val="24"/>
          <w:szCs w:val="24"/>
        </w:rPr>
        <w:t>framework</w:t>
      </w:r>
      <w:r w:rsidRPr="00A463EE">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{"citationID":"SzvLQ4gW","properties":{"formattedCitation":"\\super 27,28\\nosupersub{}","plainCitation":"27,28","noteIndex":0},"citationItems":[{"id":200,"uris":["http://zotero.org/users/6363004/items/9L7BCQUC"],"itemData":{"id":200,"type":"book","abstract":"This book outlines the creative process of making environmental management decisions using the approach called Structured Decision Making. It is a short introductory guide to this popular form of decision making and is aimed at environmental managers and scientists.   This is a distinctly pragmatic label given to ways for helping individuals and groups think through tough multidimensional choices characterized by uncertain science, diverse stakeholders, and difficult tradeoffs. This is the everyday reality of environmental management, yet many important decisions currently are made on an ad hoc basis that lacks a solid value-based foundation, ignores key information, and results in selection of an inferior alternative. Making progress – in a way that is rigorous, inclusive, defensible and transparent – requires combining analytical methods drawn from the decision sciences and applied ecology with deliberative insights from cognitive psychology, facilitation and negotiation.   The authors review key methods and discuss case-study examples based in their experiences in communities, boardrooms, and stakeholder meetings. The goal of this book is to lay out a compelling guide that will change how you think about making environmental decisions. Visit www.wiley.com/go/gregory/sdm to access the figures and tables from the book.","ISBN":"978-1-4443-9853-3","language":"en","note":"Google-Books-ID: bT1_LFuK6LMC","number-of-pages":"315","publisher":"John Wiley &amp; Sons","source":"Google Books","title":"Structured Decision Making: A Practical Guide to Environmental Management Choices","title-short":"Structured Decision Making","author":[{"family":"Gregory","given":"Robin"},{"family":"Failing","given":"Lee"},{"family":"Harstone","given":"Michael"},{"family":"Long","given":"Graham"},{"family":"McDaniels","given":"Tim"},{"family":"Ohlson","given":"Dan"}],"issued":{"date-parts":[["2012",2,17]]}}},{"id":586,"uris":["http://zotero.org/users/6363004/items/MLLQQSZW"],"itemData":{"id":586,"type":"article-journal","container-title":"Cambridge: Cambridge University Press.","DOI":"10.1017/9781316135938.003","page":"(Conservation Biology, pp. 46-64)","title":"Rapid Prototyping for Decision Structuring: An Efficient Approach to Conservation Decision Analysis. In N. Bunnefeld, E. Nicholson, &amp; E. Milner-Gulland (Eds.), Decision-Making in Conservation and Natural Resource Management: Models for Interdisciplinary Approaches.","author":[{"family":"Garrard","given":"G"},{"family":"Rumpff","given":"L."},{"family":"Runge","given":"M"},{"family":"Converse","given":"S"}],"issued":{"date-parts":[["2017"]]}}}],"schema":"https://github.com/citation-style-language/schema/raw/master/csl-citation.json"} </w:instrText>
      </w:r>
      <w:r w:rsidRPr="00A463EE">
        <w:rPr>
          <w:rFonts w:asciiTheme="minorHAnsi" w:hAnsiTheme="minorHAnsi" w:cstheme="minorHAnsi"/>
          <w:color w:val="000000" w:themeColor="text1"/>
          <w:sz w:val="24"/>
          <w:szCs w:val="24"/>
        </w:rPr>
        <w:fldChar w:fldCharType="separate"/>
      </w:r>
      <w:r w:rsidRPr="00700CAD">
        <w:rPr>
          <w:rFonts w:hAnsiTheme="minorHAnsi"/>
          <w:color w:val="000000"/>
          <w:sz w:val="24"/>
          <w:vertAlign w:val="superscript"/>
          <w:lang w:val="en-GB"/>
        </w:rPr>
        <w:t>27,28</w:t>
      </w:r>
      <w:r w:rsidRPr="00A463EE">
        <w:rPr>
          <w:rFonts w:asciiTheme="minorHAnsi" w:hAnsiTheme="minorHAnsi" w:cstheme="minorHAnsi"/>
          <w:color w:val="000000" w:themeColor="text1"/>
          <w:sz w:val="24"/>
          <w:szCs w:val="24"/>
        </w:rPr>
        <w:fldChar w:fldCharType="end"/>
      </w:r>
      <w:r w:rsidRPr="00A463EE">
        <w:rPr>
          <w:rFonts w:asciiTheme="minorHAnsi" w:hAnsiTheme="minorHAnsi" w:cstheme="minorHAnsi"/>
          <w:color w:val="000000" w:themeColor="text1"/>
          <w:sz w:val="24"/>
          <w:szCs w:val="24"/>
        </w:rPr>
        <w:t>, using Indigenous-led approaches and tool</w:t>
      </w:r>
      <w:r>
        <w:rPr>
          <w:rFonts w:asciiTheme="minorHAnsi" w:hAnsiTheme="minorHAnsi" w:cstheme="minorHAnsi"/>
          <w:color w:val="000000" w:themeColor="text1"/>
          <w:sz w:val="24"/>
          <w:szCs w:val="24"/>
        </w:rPr>
        <w:t xml:space="preserve">s </w:t>
      </w:r>
      <w:r w:rsidRPr="00A463EE">
        <w:rPr>
          <w:rFonts w:asciiTheme="minorHAnsi" w:hAnsiTheme="minorHAnsi" w:cstheme="minorHAnsi"/>
          <w:color w:val="000000" w:themeColor="text1"/>
          <w:sz w:val="24"/>
          <w:szCs w:val="24"/>
        </w:rPr>
        <w:t>to identify Bundjalung-led management actions</w:t>
      </w:r>
      <w:r>
        <w:rPr>
          <w:rFonts w:asciiTheme="minorHAnsi" w:hAnsiTheme="minorHAnsi" w:cstheme="minorHAnsi"/>
          <w:color w:val="000000" w:themeColor="text1"/>
          <w:sz w:val="24"/>
          <w:szCs w:val="24"/>
        </w:rPr>
        <w:t xml:space="preserve"> (Extended data Figure 1)</w:t>
      </w:r>
      <w:r w:rsidRPr="00A463EE">
        <w:rPr>
          <w:rFonts w:asciiTheme="minorHAnsi" w:hAnsiTheme="minorHAnsi" w:cstheme="minorHAnsi"/>
          <w:color w:val="000000" w:themeColor="text1"/>
          <w:sz w:val="24"/>
          <w:szCs w:val="24"/>
        </w:rPr>
        <w:t xml:space="preserve">, demonstrating a place-based and scale-based approach to the genuine collaborative management of CSE. </w:t>
      </w:r>
      <w:r>
        <w:rPr>
          <w:rFonts w:asciiTheme="minorHAnsi" w:hAnsiTheme="minorHAnsi" w:cstheme="minorHAnsi"/>
          <w:color w:val="000000" w:themeColor="text1"/>
          <w:sz w:val="24"/>
          <w:szCs w:val="24"/>
        </w:rPr>
        <w:t>S</w:t>
      </w:r>
      <w:r w:rsidRPr="00A463EE">
        <w:rPr>
          <w:rFonts w:asciiTheme="minorHAnsi" w:hAnsiTheme="minorHAnsi" w:cstheme="minorHAnsi"/>
          <w:color w:val="000000" w:themeColor="text1"/>
          <w:sz w:val="24"/>
          <w:szCs w:val="24"/>
        </w:rPr>
        <w:t xml:space="preserve">tructured </w:t>
      </w:r>
      <w:r>
        <w:rPr>
          <w:rFonts w:asciiTheme="minorHAnsi" w:hAnsiTheme="minorHAnsi" w:cstheme="minorHAnsi"/>
          <w:color w:val="000000" w:themeColor="text1"/>
          <w:sz w:val="24"/>
          <w:szCs w:val="24"/>
        </w:rPr>
        <w:t>d</w:t>
      </w:r>
      <w:r w:rsidRPr="00A463EE">
        <w:rPr>
          <w:rFonts w:asciiTheme="minorHAnsi" w:hAnsiTheme="minorHAnsi" w:cstheme="minorHAnsi"/>
          <w:color w:val="000000" w:themeColor="text1"/>
          <w:sz w:val="24"/>
          <w:szCs w:val="24"/>
        </w:rPr>
        <w:t>ecision-</w:t>
      </w:r>
      <w:r>
        <w:rPr>
          <w:rFonts w:asciiTheme="minorHAnsi" w:hAnsiTheme="minorHAnsi" w:cstheme="minorHAnsi"/>
          <w:color w:val="000000" w:themeColor="text1"/>
          <w:sz w:val="24"/>
          <w:szCs w:val="24"/>
        </w:rPr>
        <w:t>m</w:t>
      </w:r>
      <w:r w:rsidRPr="00A463EE">
        <w:rPr>
          <w:rFonts w:asciiTheme="minorHAnsi" w:hAnsiTheme="minorHAnsi" w:cstheme="minorHAnsi"/>
          <w:color w:val="000000" w:themeColor="text1"/>
          <w:sz w:val="24"/>
          <w:szCs w:val="24"/>
        </w:rPr>
        <w:t xml:space="preserve">aking is effective when collaborating with Indigenous groups and for setting management objectives and actions </w:t>
      </w:r>
      <w:r w:rsidRPr="00A463EE">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{"citationID":"WHfWlmnq","properties":{"formattedCitation":"\\super 29,30\\nosupersub{}","plainCitation":"29,30","noteIndex":0},"citationItems":[{"id":208,"uris":["http://zotero.org/users/6363004/items/7LUEK4M6"],"itemData":{"id":208,"type":"article-journal","abstract":"We devised a participatory modeling approach for setting management thresholds that show when management intervention is required to address undesirable ecosystem changes. This approach was designed to be used when management thresholds: must be set for environmental indicators in the face of multiple competing objectives; need to incorporate scientific understanding and value judgments; and will be set by participants with limited modeling experience. We applied our approach to a case study where management thresholds were set for a mat-forming brown alga, Hormosira banksii, in a protected area management context. Participants, including management staff and scientists, were involved in a workshop to test the approach, and set management thresholds to address the threat of trampling by visitors to an intertidal rocky reef. The approach involved trading off the environmental objective, to maintain the condition of intertidal reef communities, with social and economic objectives to ensure management intervention was cost-effective. Ecological scenarios, developed using scenario planning, were a key feature that provided the foundation for where to set management thresholds. The scenarios developed represented declines in percent cover of H. banksii that may occur under increased threatening processes. Participants defined 4 discrete management alternatives to address the threat of trampling and estimated the effect of these alternatives on the objectives under each ecological scenario. A weighted additive model was used to aggregate participants’ consequence estimates. Model outputs (decision scores) clearly expressed uncertainty, which can be considered by decision makers and used to inform where to set management thresholds. This approach encourages a proactive form of conservation, where management thresholds and associated actions are defined a priori for ecological indicators, rather than reacting to unexpected ecosystem changes in the future.","container-title":"Conservation Biology","DOI":"https://doi.org/10.1111/cobi.12544","ISSN":"1523-1739","issue":"5","language":"es","note":"_eprint: https://conbio.onlinelibrary.wiley.com/doi/pdf/10.1111/cobi.12544","page":"1411-1422","source":"Wiley Online Library","title":"Setting conservation management thresholds using a novel participatory modeling approach","volume":"29","author":[{"family":"Addison","given":"P. F. E."},{"family":"Bie","given":"K.","dropping-particle":"de"},{"family":"Rumpff","given":"L."}],"issued":{"date-parts":[["2015"]]}}},{"id":194,"uris":["http://zotero.org/users/6363004/items/3NVP4B5V"],"itemData":{"id":194,"type":"article-journal","abstract":"Climate change is impacting the subsistence livelihoods of many indigenous communities in the Arctic. We describe how structured decision analysis (SDA), informed by traditional ecological knowledge, can be used to understand the mechanisms of how climate change influences subsistence species and their harvest, and to build upon existing adaptive strategies and decision-making processes. In the Iñupiat community of Wainwright, Alaska, we test SDA as a potential framework by which vulnerabilities of subsistence systems can be identified and climate change adaptations can be prioritized. Over the course of five workshops, participants identified issues of concern, assessed the benefits and trade-offs of different strategies to enhance the safety of subsistence activities, identified factors influencing key subsistence species and their accessibility, and assessed the dependence of animals and their harvest on sea ice. Furthermore, we asked workshop participants to assess whether subsistence resources have increased, decreased, or remained stable over the past decade. Declining caribou populations and unsafe ice conditions for hunters were of particular concern in Wainwright. Participants identified high priority safety strategies such as a new docking facility, safety workshops, a hunter meeting place, and search and rescue boats. Because of its coastal location on a lagoon at the mouth of a river, Wainwright has a highly diverse subsistence system that may in part buffer the negative effects of climate change. Furthermore, most species or groups harvested in Wainwright were assessed as stable or increasing. Nevertheless, of the five most important subsistence species in Wainwright, one experienced recent population declines (caribou) and the harvest of three others depends on the presence of thick, reliable shorefast ice. We propose that SDA can be a useful tool to assess the vulnerability of subsistence systems to climate change, and can be used to prioritize strategies to adapt to climate change.","container-title":"Ecology and Society","ISSN":"1708-3087","issue":"4","note":"publisher: Resilience Alliance Inc.","source":"JSTOR","title":"Structured decision analysis informed by traditional ecological knowledge as a tool to strengthen subsistence systems in a changing Arctic","URL":"https://www.jstor.org/stable/26796896","volume":"23","author":[{"family":"Christie","given":"Katherine S."},{"family":"Hollmen","given":"Tuula E."},{"family":"Huntington","given":"Henry P."},{"family":"Lovvorn","given":"James R."}],"accessed":{"date-parts":[["2021",3,23]]},"issued":{"date-parts":[["2018"]]}}}],"schema":"https://github.com/citation-style-language/schema/raw/master/csl-citation.json"} </w:instrText>
      </w:r>
      <w:r w:rsidRPr="00A463EE">
        <w:rPr>
          <w:rFonts w:asciiTheme="minorHAnsi" w:hAnsiTheme="minorHAnsi" w:cstheme="minorHAnsi"/>
          <w:color w:val="000000" w:themeColor="text1"/>
          <w:sz w:val="24"/>
          <w:szCs w:val="24"/>
        </w:rPr>
        <w:fldChar w:fldCharType="separate"/>
      </w:r>
      <w:r w:rsidRPr="00700CAD">
        <w:rPr>
          <w:rFonts w:hAnsiTheme="minorHAnsi"/>
          <w:color w:val="000000"/>
          <w:sz w:val="24"/>
          <w:vertAlign w:val="superscript"/>
          <w:lang w:val="en-GB"/>
        </w:rPr>
        <w:t>29,30</w:t>
      </w:r>
      <w:r w:rsidRPr="00A463EE">
        <w:rPr>
          <w:rFonts w:asciiTheme="minorHAnsi" w:hAnsiTheme="minorHAnsi" w:cstheme="minorHAnsi"/>
          <w:color w:val="000000" w:themeColor="text1"/>
          <w:sz w:val="24"/>
          <w:szCs w:val="24"/>
        </w:rPr>
        <w:fldChar w:fldCharType="end"/>
      </w:r>
      <w:r w:rsidRPr="00A463EE">
        <w:rPr>
          <w:rFonts w:asciiTheme="minorHAnsi" w:hAnsiTheme="minorHAnsi" w:cstheme="minorHAnsi"/>
          <w:color w:val="000000" w:themeColor="text1"/>
          <w:sz w:val="24"/>
          <w:szCs w:val="24"/>
        </w:rPr>
        <w:t xml:space="preserve"> because it supports </w:t>
      </w:r>
      <w:r>
        <w:rPr>
          <w:rFonts w:asciiTheme="minorHAnsi" w:hAnsiTheme="minorHAnsi" w:cstheme="minorHAnsi"/>
          <w:color w:val="000000" w:themeColor="text1"/>
          <w:sz w:val="24"/>
          <w:szCs w:val="24"/>
        </w:rPr>
        <w:t xml:space="preserve">participatory and </w:t>
      </w:r>
      <w:r w:rsidRPr="00A463EE">
        <w:rPr>
          <w:rFonts w:asciiTheme="minorHAnsi" w:hAnsiTheme="minorHAnsi" w:cstheme="minorHAnsi"/>
          <w:color w:val="000000" w:themeColor="text1"/>
          <w:sz w:val="24"/>
          <w:szCs w:val="24"/>
        </w:rPr>
        <w:t>transparent decision-making processes</w:t>
      </w:r>
      <w:r>
        <w:rPr>
          <w:rFonts w:asciiTheme="minorHAnsi" w:hAnsiTheme="minorHAnsi" w:cstheme="minorHAnsi"/>
          <w:color w:val="000000" w:themeColor="text1"/>
          <w:sz w:val="24"/>
          <w:szCs w:val="24"/>
        </w:rPr>
        <w:t>,</w:t>
      </w:r>
      <w:r w:rsidRPr="00A463EE">
        <w:rPr>
          <w:rFonts w:asciiTheme="minorHAnsi" w:hAnsiTheme="minorHAnsi" w:cstheme="minorHAnsi"/>
          <w:color w:val="000000" w:themeColor="text1"/>
          <w:sz w:val="24"/>
          <w:szCs w:val="24"/>
        </w:rPr>
        <w:t xml:space="preserve"> and</w:t>
      </w:r>
      <w:r>
        <w:rPr>
          <w:rFonts w:asciiTheme="minorHAnsi" w:hAnsiTheme="minorHAnsi" w:cstheme="minorHAnsi"/>
          <w:color w:val="000000" w:themeColor="text1"/>
          <w:sz w:val="24"/>
          <w:szCs w:val="24"/>
        </w:rPr>
        <w:t xml:space="preserve"> works to </w:t>
      </w:r>
      <w:r w:rsidRPr="00A463EE">
        <w:rPr>
          <w:rFonts w:asciiTheme="minorHAnsi" w:hAnsiTheme="minorHAnsi" w:cstheme="minorHAnsi"/>
          <w:color w:val="000000" w:themeColor="text1"/>
          <w:sz w:val="24"/>
          <w:szCs w:val="24"/>
        </w:rPr>
        <w:t>clear</w:t>
      </w:r>
      <w:r>
        <w:rPr>
          <w:rFonts w:asciiTheme="minorHAnsi" w:hAnsiTheme="minorHAnsi" w:cstheme="minorHAnsi"/>
          <w:color w:val="000000" w:themeColor="text1"/>
          <w:sz w:val="24"/>
          <w:szCs w:val="24"/>
        </w:rPr>
        <w:t>ly</w:t>
      </w:r>
      <w:r w:rsidRPr="00A463EE">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identify</w:t>
      </w:r>
      <w:r w:rsidRPr="00A463EE">
        <w:rPr>
          <w:rFonts w:asciiTheme="minorHAnsi" w:hAnsiTheme="minorHAnsi" w:cstheme="minorHAnsi"/>
          <w:color w:val="000000" w:themeColor="text1"/>
          <w:sz w:val="24"/>
          <w:szCs w:val="24"/>
        </w:rPr>
        <w:t xml:space="preserve"> what is in and out of scope</w:t>
      </w:r>
      <w:r>
        <w:rPr>
          <w:rFonts w:asciiTheme="minorHAnsi" w:hAnsiTheme="minorHAnsi" w:cstheme="minorHAnsi"/>
          <w:color w:val="000000" w:themeColor="text1"/>
          <w:sz w:val="24"/>
          <w:szCs w:val="24"/>
        </w:rPr>
        <w:t>.</w:t>
      </w:r>
      <w:r w:rsidRPr="00A463EE">
        <w:rPr>
          <w:rFonts w:asciiTheme="minorHAnsi" w:hAnsiTheme="minorHAnsi" w:cstheme="minorHAnsi"/>
          <w:color w:val="000000" w:themeColor="text1"/>
          <w:sz w:val="24"/>
          <w:szCs w:val="24"/>
        </w:rPr>
        <w:t xml:space="preserve"> </w:t>
      </w:r>
    </w:p>
    <w:p w14:paraId="1491D648" w14:textId="77777777" w:rsidR="00A041A3" w:rsidRPr="00A463EE" w:rsidRDefault="00A041A3" w:rsidP="00A041A3">
      <w:pPr>
        <w:spacing w:line="360" w:lineRule="auto"/>
        <w:rPr>
          <w:rFonts w:asciiTheme="minorHAnsi" w:hAnsiTheme="minorHAnsi" w:cstheme="minorHAnsi"/>
          <w:color w:val="000000" w:themeColor="text1"/>
          <w:sz w:val="24"/>
          <w:szCs w:val="24"/>
        </w:rPr>
      </w:pPr>
    </w:p>
    <w:p w14:paraId="39D63BDC" w14:textId="77777777" w:rsidR="00A041A3" w:rsidRDefault="00A041A3" w:rsidP="00A041A3">
      <w:pPr>
        <w:spacing w:line="360" w:lineRule="auto"/>
        <w:rPr>
          <w:sz w:val="24"/>
          <w:szCs w:val="24"/>
        </w:rPr>
      </w:pPr>
      <w:r>
        <w:rPr>
          <w:rFonts w:asciiTheme="minorHAnsi" w:hAnsiTheme="minorHAnsi" w:cstheme="minorHAnsi"/>
          <w:color w:val="000000" w:themeColor="text1"/>
          <w:sz w:val="24"/>
          <w:szCs w:val="24"/>
        </w:rPr>
        <w:t>The</w:t>
      </w:r>
      <w:r w:rsidRPr="00A463EE">
        <w:rPr>
          <w:rFonts w:asciiTheme="minorHAnsi" w:hAnsiTheme="minorHAnsi" w:cstheme="minorHAnsi"/>
          <w:color w:val="000000" w:themeColor="text1"/>
          <w:sz w:val="24"/>
          <w:szCs w:val="24"/>
        </w:rPr>
        <w:t xml:space="preserve"> complete </w:t>
      </w:r>
      <w:r>
        <w:rPr>
          <w:rFonts w:asciiTheme="minorHAnsi" w:hAnsiTheme="minorHAnsi" w:cstheme="minorHAnsi"/>
          <w:color w:val="000000" w:themeColor="text1"/>
          <w:sz w:val="24"/>
          <w:szCs w:val="24"/>
        </w:rPr>
        <w:t>st</w:t>
      </w:r>
      <w:r w:rsidRPr="00A463EE">
        <w:rPr>
          <w:rFonts w:asciiTheme="minorHAnsi" w:hAnsiTheme="minorHAnsi" w:cstheme="minorHAnsi"/>
          <w:color w:val="000000" w:themeColor="text1"/>
          <w:sz w:val="24"/>
          <w:szCs w:val="24"/>
        </w:rPr>
        <w:t xml:space="preserve">ructured </w:t>
      </w:r>
      <w:r>
        <w:rPr>
          <w:rFonts w:asciiTheme="minorHAnsi" w:hAnsiTheme="minorHAnsi" w:cstheme="minorHAnsi"/>
          <w:color w:val="000000" w:themeColor="text1"/>
          <w:sz w:val="24"/>
          <w:szCs w:val="24"/>
        </w:rPr>
        <w:t>d</w:t>
      </w:r>
      <w:r w:rsidRPr="00A463EE">
        <w:rPr>
          <w:rFonts w:asciiTheme="minorHAnsi" w:hAnsiTheme="minorHAnsi" w:cstheme="minorHAnsi"/>
          <w:color w:val="000000" w:themeColor="text1"/>
          <w:sz w:val="24"/>
          <w:szCs w:val="24"/>
        </w:rPr>
        <w:t>ecision-</w:t>
      </w:r>
      <w:r>
        <w:rPr>
          <w:rFonts w:asciiTheme="minorHAnsi" w:hAnsiTheme="minorHAnsi" w:cstheme="minorHAnsi"/>
          <w:color w:val="000000" w:themeColor="text1"/>
          <w:sz w:val="24"/>
          <w:szCs w:val="24"/>
        </w:rPr>
        <w:t>m</w:t>
      </w:r>
      <w:r w:rsidRPr="00A463EE">
        <w:rPr>
          <w:rFonts w:asciiTheme="minorHAnsi" w:hAnsiTheme="minorHAnsi" w:cstheme="minorHAnsi"/>
          <w:color w:val="000000" w:themeColor="text1"/>
          <w:sz w:val="24"/>
          <w:szCs w:val="24"/>
        </w:rPr>
        <w:t>aking</w:t>
      </w:r>
      <w:r w:rsidRPr="00A463EE" w:rsidDel="00996157">
        <w:rPr>
          <w:rFonts w:asciiTheme="minorHAnsi" w:hAnsiTheme="minorHAnsi" w:cstheme="minorHAnsi"/>
          <w:color w:val="000000" w:themeColor="text1"/>
          <w:sz w:val="24"/>
          <w:szCs w:val="24"/>
        </w:rPr>
        <w:t xml:space="preserve"> </w:t>
      </w:r>
      <w:r w:rsidRPr="00A463EE">
        <w:rPr>
          <w:rFonts w:asciiTheme="minorHAnsi" w:hAnsiTheme="minorHAnsi" w:cstheme="minorHAnsi"/>
          <w:color w:val="000000" w:themeColor="text1"/>
          <w:sz w:val="24"/>
          <w:szCs w:val="24"/>
        </w:rPr>
        <w:t xml:space="preserve"> process we undertook resulted in three outputs</w:t>
      </w:r>
      <w:r>
        <w:rPr>
          <w:rFonts w:asciiTheme="minorHAnsi" w:hAnsiTheme="minorHAnsi" w:cstheme="minorHAnsi"/>
          <w:color w:val="000000" w:themeColor="text1"/>
          <w:sz w:val="24"/>
          <w:szCs w:val="24"/>
        </w:rPr>
        <w:t>;</w:t>
      </w:r>
      <w:r w:rsidRPr="00A463EE">
        <w:rPr>
          <w:rFonts w:asciiTheme="minorHAnsi" w:hAnsiTheme="minorHAnsi" w:cstheme="minorHAnsi"/>
          <w:color w:val="000000" w:themeColor="text1"/>
          <w:sz w:val="24"/>
          <w:szCs w:val="24"/>
        </w:rPr>
        <w:t xml:space="preserve"> 1) Indigenous-led development of bio-cultural objectives and related measures for identification of CSE and assessment of collaborative management actions of CSE </w:t>
      </w:r>
      <w:r w:rsidRPr="00A463EE">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{"citationID":"qprfdCeE","properties":{"formattedCitation":"\\super 4\\nosupersub{}","plainCitation":"4","noteIndex":0},"citationItems":[{"id":563,"uris":["http://zotero.org/users/6363004/items/E8WBXBND","http://zotero.org/users/6363004/items/GF5HBVYT"],"itemData":{"id":563,"type":"article-journal","abstract":"Increasingly the importance of Indigenous participation is acknowledged as central to effective biodiversity conservation. Traditional management emphasizes the importance of a holistic, integrated approach to safeguard species and ecological communities of cultural significance. This is discordant with many instruments for biodiversity conservation. Indigenous Australians have consistently lobbied for domestic laws to be amended to establish comanagement as the preferred approach to managing significant species and ecological communities – an approach that aligns with international obligations such as the Convention on Biological Diversity and the United Nations Declaration on the Rights of Indigenous Peoples. We describe amendments to Australia's biodiversity legislation and the use of biocultural indicators that would support Traditional management of Culturally Significant Entities (species and ecological communities), and in turn, assist Australia to effectively conserve biodiversity and meet international obligations. The ongoing challenge will be in empowering Indigenous peoples and their governance structures to implement enduring change.","container-title":"Conservation Letters","DOI":"10.1111/conl.12899","ISSN":"1755-263X","issue":"6","language":"en","note":"_eprint: https://onlinelibrary.wiley.com/doi/pdf/10.1111/conl.12899","page":"e12899","source":"Wiley Online Library","title":"Recognizing culturally significant species and Indigenous-led management is key to meeting international biodiversity obligations","volume":"15","author":[{"family":"Goolmeer","given":"Teagan"},{"family":"Skroblin","given":"Anja"},{"family":"Grant","given":"Chrissy"},{"family":"Leeuwen","given":"Stephen","non-dropping-particle":"van"},{"family":"Archer","given":"Ricky"},{"family":"Gore-Birch","given":"Cissy"},{"family":"Wintle","given":"Brendan A."}],"issued":{"date-parts":[["2022"]]}}}],"schema":"https://github.com/citation-style-language/schema/raw/master/csl-citation.json"} </w:instrText>
      </w:r>
      <w:r w:rsidRPr="00A463EE">
        <w:rPr>
          <w:rFonts w:asciiTheme="minorHAnsi" w:hAnsiTheme="minorHAnsi" w:cstheme="minorHAnsi"/>
          <w:color w:val="000000" w:themeColor="text1"/>
          <w:sz w:val="24"/>
          <w:szCs w:val="24"/>
        </w:rPr>
        <w:fldChar w:fldCharType="separate"/>
      </w:r>
      <w:r w:rsidRPr="00EE77EE">
        <w:rPr>
          <w:rFonts w:hAnsiTheme="minorHAnsi"/>
          <w:color w:val="000000"/>
          <w:sz w:val="24"/>
          <w:vertAlign w:val="superscript"/>
          <w:lang w:val="en-GB"/>
        </w:rPr>
        <w:t>4</w:t>
      </w:r>
      <w:r w:rsidRPr="00A463EE">
        <w:rPr>
          <w:rFonts w:asciiTheme="minorHAnsi" w:hAnsiTheme="minorHAnsi" w:cstheme="minorHAnsi"/>
          <w:color w:val="000000" w:themeColor="text1"/>
          <w:sz w:val="24"/>
          <w:szCs w:val="24"/>
        </w:rPr>
        <w:fldChar w:fldCharType="end"/>
      </w:r>
      <w:r>
        <w:rPr>
          <w:rFonts w:asciiTheme="minorHAnsi" w:hAnsiTheme="minorHAnsi" w:cstheme="minorHAnsi"/>
          <w:color w:val="000000" w:themeColor="text1"/>
          <w:sz w:val="24"/>
          <w:szCs w:val="24"/>
        </w:rPr>
        <w:t>;</w:t>
      </w:r>
      <w:r w:rsidRPr="00A463EE">
        <w:rPr>
          <w:rFonts w:asciiTheme="minorHAnsi" w:hAnsiTheme="minorHAnsi" w:cstheme="minorHAnsi"/>
          <w:color w:val="000000" w:themeColor="text1"/>
          <w:sz w:val="24"/>
          <w:szCs w:val="24"/>
        </w:rPr>
        <w:t xml:space="preserve"> 2) the identification and prioritization of Bundjalung-led Cultural Significant Entities, exemplifying a place-based and scale-based approach to the designation of CSE, and</w:t>
      </w:r>
      <w:r>
        <w:rPr>
          <w:rFonts w:asciiTheme="minorHAnsi" w:hAnsiTheme="minorHAnsi" w:cstheme="minorHAnsi"/>
          <w:color w:val="000000" w:themeColor="text1"/>
          <w:sz w:val="24"/>
          <w:szCs w:val="24"/>
        </w:rPr>
        <w:t>;</w:t>
      </w:r>
      <w:r w:rsidRPr="00A463EE">
        <w:rPr>
          <w:rFonts w:asciiTheme="minorHAnsi" w:hAnsiTheme="minorHAnsi" w:cstheme="minorHAnsi"/>
          <w:color w:val="000000" w:themeColor="text1"/>
          <w:sz w:val="24"/>
          <w:szCs w:val="24"/>
        </w:rPr>
        <w:t xml:space="preserve"> 3) the identification of Bundjalung-led CSE management actions to be implemented under a collaborative approach.</w:t>
      </w:r>
    </w:p>
    <w:p w14:paraId="6AC32722" w14:textId="77777777" w:rsidR="00A041A3" w:rsidRPr="00A463EE" w:rsidRDefault="00A041A3" w:rsidP="00A041A3">
      <w:pPr>
        <w:spacing w:line="360" w:lineRule="auto"/>
        <w:rPr>
          <w:sz w:val="24"/>
          <w:szCs w:val="24"/>
        </w:rPr>
      </w:pPr>
    </w:p>
    <w:p w14:paraId="5BC136BD" w14:textId="77777777" w:rsidR="00A041A3" w:rsidRPr="006375BF" w:rsidRDefault="00A041A3" w:rsidP="00A041A3">
      <w:pPr>
        <w:spacing w:line="360" w:lineRule="auto"/>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rPr>
        <w:lastRenderedPageBreak/>
        <w:drawing>
          <wp:inline distT="0" distB="0" distL="0" distR="0" wp14:anchorId="0A5B1134" wp14:editId="62AFAE23">
            <wp:extent cx="5731510" cy="4573270"/>
            <wp:effectExtent l="0" t="0" r="0" b="0"/>
            <wp:docPr id="1941728110" name="Picture 1"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28110" name="Picture 1" descr="A diagram of a group of peopl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4573270"/>
                    </a:xfrm>
                    <a:prstGeom prst="rect">
                      <a:avLst/>
                    </a:prstGeom>
                  </pic:spPr>
                </pic:pic>
              </a:graphicData>
            </a:graphic>
          </wp:inline>
        </w:drawing>
      </w:r>
    </w:p>
    <w:p w14:paraId="1E5DE660" w14:textId="77777777" w:rsidR="00A041A3" w:rsidRDefault="00A041A3" w:rsidP="00A041A3">
      <w:pPr>
        <w:spacing w:line="360" w:lineRule="auto"/>
        <w:rPr>
          <w:rFonts w:asciiTheme="minorHAnsi" w:hAnsiTheme="minorHAnsi" w:cstheme="minorHAnsi"/>
          <w:color w:val="000000" w:themeColor="text1"/>
          <w:sz w:val="24"/>
          <w:szCs w:val="24"/>
        </w:rPr>
      </w:pPr>
    </w:p>
    <w:p w14:paraId="135BB211" w14:textId="77777777" w:rsidR="00A041A3" w:rsidRDefault="00A041A3" w:rsidP="00A041A3">
      <w:pPr>
        <w:spacing w:line="360" w:lineRule="auto"/>
        <w:rPr>
          <w:rFonts w:asciiTheme="minorHAnsi" w:hAnsiTheme="minorHAnsi" w:cstheme="minorHAnsi"/>
          <w:color w:val="000000" w:themeColor="text1"/>
          <w:sz w:val="24"/>
          <w:szCs w:val="24"/>
        </w:rPr>
      </w:pPr>
    </w:p>
    <w:p w14:paraId="3FCAEAB3" w14:textId="77777777" w:rsidR="00A041A3" w:rsidRPr="001B3294" w:rsidRDefault="00A041A3" w:rsidP="00A041A3">
      <w:pPr>
        <w:spacing w:line="360" w:lineRule="auto"/>
        <w:rPr>
          <w:spacing w:val="-2"/>
          <w:sz w:val="24"/>
          <w:szCs w:val="24"/>
        </w:rPr>
      </w:pPr>
      <w:r>
        <w:rPr>
          <w:sz w:val="24"/>
          <w:szCs w:val="24"/>
        </w:rPr>
        <w:t xml:space="preserve">Extended data </w:t>
      </w:r>
      <w:r w:rsidRPr="001B3294">
        <w:rPr>
          <w:sz w:val="24"/>
          <w:szCs w:val="24"/>
        </w:rPr>
        <w:t xml:space="preserve">Figure 1: Structured decision-making framework employed in the identification and prioritization of Bundjalung-led Cultural Significant Entities adapted from </w:t>
      </w:r>
      <w:r w:rsidRPr="001B3294">
        <w:rPr>
          <w:sz w:val="24"/>
          <w:szCs w:val="24"/>
        </w:rPr>
        <w:fldChar w:fldCharType="begin"/>
      </w:r>
      <w:r w:rsidRPr="001B3294">
        <w:rPr>
          <w:sz w:val="24"/>
          <w:szCs w:val="24"/>
        </w:rPr>
        <w:instrText xml:space="preserve"> ADDIN ZOTERO_ITEM CSL_CITATION {"citationID":"de8uZc3B","properties":{"formattedCitation":"\\super 30,31\\nosupersub{}","plainCitation":"30,31","noteIndex":0},"citationItems":[{"id":194,"uris":["http://zotero.org/users/6363004/items/3NVP4B5V"],"itemData":{"id":194,"type":"article-journal","abstract":"Climate change is impacting the subsistence livelihoods of many indigenous communities in the Arctic. We describe how structured decision analysis (SDA), informed by traditional ecological knowledge, can be used to understand the mechanisms of how climate change influences subsistence species and their harvest, and to build upon existing adaptive strategies and decision-making processes. In the Iñupiat community of Wainwright, Alaska, we test SDA as a potential framework by which vulnerabilities of subsistence systems can be identified and climate change adaptations can be prioritized. Over the course of five workshops, participants identified issues of concern, assessed the benefits and trade-offs of different strategies to enhance the safety of subsistence activities, identified factors influencing key subsistence species and their accessibility, and assessed the dependence of animals and their harvest on sea ice. Furthermore, we asked workshop participants to assess whether subsistence resources have increased, decreased, or remained stable over the past decade. Declining caribou populations and unsafe ice conditions for hunters were of particular concern in Wainwright. Participants identified high priority safety strategies such as a new docking facility, safety workshops, a hunter meeting place, and search and rescue boats. Because of its coastal location on a lagoon at the mouth of a river, Wainwright has a highly diverse subsistence system that may in part buffer the negative effects of climate change. Furthermore, most species or groups harvested in Wainwright were assessed as stable or increasing. Nevertheless, of the five most important subsistence species in Wainwright, one experienced recent population declines (caribou) and the harvest of three others depends on the presence of thick, reliable shorefast ice. We propose that SDA can be a useful tool to assess the vulnerability of subsistence systems to climate change, and can be used to prioritize strategies to adapt to climate change.","container-title":"Ecology and Society","ISSN":"1708-3087","issue":"4","note":"publisher: Resilience Alliance Inc.","source":"JSTOR","title":"Structured decision analysis informed by traditional ecological knowledge as a tool to strengthen subsistence systems in a changing Arctic","URL":"https://www.jstor.org/stable/26796896","volume":"23","author":[{"family":"Christie","given":"Katherine S."},{"family":"Hollmen","given":"Tuula E."},{"family":"Huntington","given":"Henry P."},{"family":"Lovvorn","given":"James R."}],"accessed":{"date-parts":[["2021",3,23]]},"issued":{"date-parts":[["2018"]]}}},{"id":209,"uris":["http://zotero.org/users/6363004/items/TKD9ZVFS"],"itemData":{"id":209,"type":"article-journal","abstract":"Achieving global targets for restoring native vegetation cover requires restoration projects to identify and work toward common management objectives. This is made challenging by the different values held by concerned stakeholders, which are not often accounted for. Additionally, restoration is time-dependent and yet there is often little explicit acknowledgment of the time frames required to achieve outcomes. Here, we argue that explicitly incorporating value and time considerations into stated objectives would help to achieve restoration goals. We reviewed the peer-reviewed literature on restoration of terrestrial vegetation and found that while there is guidance on how to identify and account for stakeholder values and time considerations, there is little evidence these are being incorporated into decision-making processes. In this article, we explore how a combination of stakeholder surveys and workshops can be used within a structured decision-making framework to facilitate the integration of diverse stakeholder values and time frame considerations to set restoration objectives. We demonstrate this approach with a case of restoration decision-making at a regional scale (southeast Queensland, Australia) with a view to this experience supporting similar restoration projects elsewhere.","container-title":"Restoration Ecology","DOI":"https://doi.org/10.1111/rec.12591","ISSN":"1526-100X","issue":"6","language":"en","note":"_eprint: https://onlinelibrary.wiley.com/doi/pdf/10.1111/rec.12591","page":"858-865","source":"Wiley Online Library","title":"Using structured decision-making to set restoration objectives when multiple values and preferences exist","volume":"25","author":[{"family":"Guerrero","given":"Angela M."},{"family":"Shoo","given":"Luke"},{"family":"Iacona","given":"Gwenllian"},{"family":"Standish","given":"Rachel J."},{"family":"Catterall","given":"Carla P."},{"family":"Rumpff","given":"Libby"},{"family":"Bie","given":"Kelly","dropping-particle":"de"},{"family":"White","given":"Zoe"},{"family":"Matzek","given":"Virginia"},{"family":"Wilson","given":"Kerrie A."}],"issued":{"date-parts":[["2017"]]}}}],"schema":"https://github.com/citation-style-language/schema/raw/master/csl-citation.json"} </w:instrText>
      </w:r>
      <w:r w:rsidRPr="001B3294">
        <w:rPr>
          <w:sz w:val="24"/>
          <w:szCs w:val="24"/>
        </w:rPr>
        <w:fldChar w:fldCharType="separate"/>
      </w:r>
      <w:r w:rsidRPr="001B3294">
        <w:rPr>
          <w:color w:val="000000"/>
          <w:sz w:val="24"/>
          <w:szCs w:val="24"/>
          <w:vertAlign w:val="superscript"/>
          <w:lang w:val="en-GB"/>
        </w:rPr>
        <w:t>30,31</w:t>
      </w:r>
      <w:r w:rsidRPr="001B3294">
        <w:rPr>
          <w:sz w:val="24"/>
          <w:szCs w:val="24"/>
        </w:rPr>
        <w:fldChar w:fldCharType="end"/>
      </w:r>
      <w:r w:rsidRPr="001B3294">
        <w:rPr>
          <w:sz w:val="24"/>
          <w:szCs w:val="24"/>
        </w:rPr>
        <w:t>.</w:t>
      </w:r>
      <w:r w:rsidRPr="001B3294">
        <w:rPr>
          <w:spacing w:val="-3"/>
          <w:sz w:val="24"/>
          <w:szCs w:val="24"/>
        </w:rPr>
        <w:t xml:space="preserve"> The </w:t>
      </w:r>
      <w:r w:rsidRPr="001B3294">
        <w:rPr>
          <w:sz w:val="24"/>
          <w:szCs w:val="24"/>
        </w:rPr>
        <w:t>steps</w:t>
      </w:r>
      <w:r w:rsidRPr="001B3294">
        <w:rPr>
          <w:spacing w:val="-1"/>
          <w:sz w:val="24"/>
          <w:szCs w:val="24"/>
        </w:rPr>
        <w:t xml:space="preserve"> </w:t>
      </w:r>
      <w:r w:rsidRPr="001B3294">
        <w:rPr>
          <w:sz w:val="24"/>
          <w:szCs w:val="24"/>
        </w:rPr>
        <w:t>are</w:t>
      </w:r>
      <w:r w:rsidRPr="001B3294">
        <w:rPr>
          <w:spacing w:val="-1"/>
          <w:sz w:val="24"/>
          <w:szCs w:val="24"/>
        </w:rPr>
        <w:t xml:space="preserve"> </w:t>
      </w:r>
      <w:r w:rsidRPr="001B3294">
        <w:rPr>
          <w:sz w:val="24"/>
          <w:szCs w:val="24"/>
        </w:rPr>
        <w:t>iterative,</w:t>
      </w:r>
      <w:r w:rsidRPr="001B3294">
        <w:rPr>
          <w:spacing w:val="-1"/>
          <w:sz w:val="24"/>
          <w:szCs w:val="24"/>
        </w:rPr>
        <w:t xml:space="preserve"> </w:t>
      </w:r>
      <w:r w:rsidRPr="001B3294">
        <w:rPr>
          <w:sz w:val="24"/>
          <w:szCs w:val="24"/>
        </w:rPr>
        <w:t>with</w:t>
      </w:r>
      <w:r w:rsidRPr="001B3294">
        <w:rPr>
          <w:spacing w:val="-4"/>
          <w:sz w:val="24"/>
          <w:szCs w:val="24"/>
        </w:rPr>
        <w:t xml:space="preserve"> </w:t>
      </w:r>
      <w:r w:rsidRPr="001B3294">
        <w:rPr>
          <w:sz w:val="24"/>
          <w:szCs w:val="24"/>
        </w:rPr>
        <w:t>feedback</w:t>
      </w:r>
      <w:r w:rsidRPr="001B3294">
        <w:rPr>
          <w:spacing w:val="-1"/>
          <w:sz w:val="24"/>
          <w:szCs w:val="24"/>
        </w:rPr>
        <w:t xml:space="preserve"> </w:t>
      </w:r>
      <w:r w:rsidRPr="001B3294">
        <w:rPr>
          <w:sz w:val="24"/>
          <w:szCs w:val="24"/>
        </w:rPr>
        <w:t>between</w:t>
      </w:r>
      <w:r w:rsidRPr="001B3294">
        <w:rPr>
          <w:spacing w:val="-3"/>
          <w:sz w:val="24"/>
          <w:szCs w:val="24"/>
        </w:rPr>
        <w:t xml:space="preserve"> </w:t>
      </w:r>
      <w:r w:rsidRPr="001B3294">
        <w:rPr>
          <w:sz w:val="24"/>
          <w:szCs w:val="24"/>
        </w:rPr>
        <w:t>each</w:t>
      </w:r>
      <w:r w:rsidRPr="001B3294">
        <w:rPr>
          <w:spacing w:val="-3"/>
          <w:sz w:val="24"/>
          <w:szCs w:val="24"/>
        </w:rPr>
        <w:t xml:space="preserve"> </w:t>
      </w:r>
      <w:r w:rsidRPr="001B3294">
        <w:rPr>
          <w:sz w:val="24"/>
          <w:szCs w:val="24"/>
        </w:rPr>
        <w:t>step</w:t>
      </w:r>
      <w:r w:rsidRPr="001B3294">
        <w:rPr>
          <w:spacing w:val="-3"/>
          <w:sz w:val="24"/>
          <w:szCs w:val="24"/>
        </w:rPr>
        <w:t xml:space="preserve"> </w:t>
      </w:r>
      <w:r w:rsidRPr="001B3294">
        <w:rPr>
          <w:sz w:val="24"/>
          <w:szCs w:val="24"/>
        </w:rPr>
        <w:t>to</w:t>
      </w:r>
      <w:r w:rsidRPr="001B3294">
        <w:rPr>
          <w:spacing w:val="-4"/>
          <w:sz w:val="24"/>
          <w:szCs w:val="24"/>
        </w:rPr>
        <w:t xml:space="preserve"> </w:t>
      </w:r>
      <w:r w:rsidRPr="001B3294">
        <w:rPr>
          <w:sz w:val="24"/>
          <w:szCs w:val="24"/>
        </w:rPr>
        <w:t>the</w:t>
      </w:r>
      <w:r w:rsidRPr="001B3294">
        <w:rPr>
          <w:spacing w:val="-1"/>
          <w:sz w:val="24"/>
          <w:szCs w:val="24"/>
        </w:rPr>
        <w:t xml:space="preserve"> </w:t>
      </w:r>
      <w:r w:rsidRPr="001B3294">
        <w:rPr>
          <w:sz w:val="24"/>
          <w:szCs w:val="24"/>
        </w:rPr>
        <w:t>community.</w:t>
      </w:r>
      <w:r w:rsidRPr="001B3294">
        <w:rPr>
          <w:spacing w:val="-2"/>
          <w:sz w:val="24"/>
          <w:szCs w:val="24"/>
        </w:rPr>
        <w:t xml:space="preserve"> The iterative steps three and four are the focus of this study. </w:t>
      </w:r>
    </w:p>
    <w:p w14:paraId="669ABB87" w14:textId="77777777" w:rsidR="00A041A3" w:rsidRDefault="00A041A3" w:rsidP="00A041A3">
      <w:pPr>
        <w:spacing w:line="360" w:lineRule="auto"/>
        <w:rPr>
          <w:rFonts w:asciiTheme="minorHAnsi" w:hAnsiTheme="minorHAnsi" w:cstheme="minorHAnsi"/>
          <w:color w:val="000000" w:themeColor="text1"/>
          <w:sz w:val="24"/>
          <w:szCs w:val="24"/>
        </w:rPr>
      </w:pPr>
    </w:p>
    <w:p w14:paraId="59191677" w14:textId="77777777" w:rsidR="00A041A3" w:rsidRDefault="00A041A3" w:rsidP="00A041A3">
      <w:pPr>
        <w:spacing w:line="36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We developed a </w:t>
      </w:r>
      <w:r w:rsidRPr="00E45955">
        <w:rPr>
          <w:rFonts w:asciiTheme="minorHAnsi" w:hAnsiTheme="minorHAnsi" w:cstheme="minorHAnsi"/>
          <w:color w:val="000000" w:themeColor="text1"/>
          <w:sz w:val="24"/>
          <w:szCs w:val="24"/>
        </w:rPr>
        <w:t xml:space="preserve">formal partnership </w:t>
      </w:r>
      <w:r>
        <w:rPr>
          <w:rFonts w:asciiTheme="minorHAnsi" w:hAnsiTheme="minorHAnsi" w:cstheme="minorHAnsi"/>
          <w:color w:val="000000" w:themeColor="text1"/>
          <w:sz w:val="24"/>
          <w:szCs w:val="24"/>
        </w:rPr>
        <w:t xml:space="preserve">through the </w:t>
      </w:r>
      <w:r w:rsidRPr="00E45955">
        <w:rPr>
          <w:rFonts w:asciiTheme="minorHAnsi" w:hAnsiTheme="minorHAnsi" w:cstheme="minorHAnsi"/>
          <w:color w:val="000000" w:themeColor="text1"/>
          <w:sz w:val="24"/>
          <w:szCs w:val="24"/>
        </w:rPr>
        <w:t>Bundjalung-led</w:t>
      </w:r>
      <w:r>
        <w:rPr>
          <w:rFonts w:asciiTheme="minorHAnsi" w:hAnsiTheme="minorHAnsi" w:cstheme="minorHAnsi"/>
          <w:color w:val="000000" w:themeColor="text1"/>
          <w:sz w:val="24"/>
          <w:szCs w:val="24"/>
        </w:rPr>
        <w:t xml:space="preserve"> </w:t>
      </w:r>
      <w:r w:rsidRPr="0034196E">
        <w:rPr>
          <w:rFonts w:asciiTheme="minorHAnsi" w:hAnsiTheme="minorHAnsi" w:cstheme="minorHAnsi"/>
          <w:color w:val="000000" w:themeColor="text1"/>
          <w:sz w:val="24"/>
          <w:szCs w:val="24"/>
        </w:rPr>
        <w:t>Jagun Alliance Aboriginal Corporation</w:t>
      </w:r>
      <w:r w:rsidRPr="00E45955">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w:t>
      </w:r>
      <w:r w:rsidRPr="00E45955">
        <w:rPr>
          <w:rFonts w:asciiTheme="minorHAnsi" w:hAnsiTheme="minorHAnsi" w:cstheme="minorHAnsi"/>
          <w:color w:val="000000" w:themeColor="text1"/>
          <w:sz w:val="24"/>
          <w:szCs w:val="24"/>
        </w:rPr>
        <w:t>JAAC</w:t>
      </w:r>
      <w:r>
        <w:rPr>
          <w:rFonts w:asciiTheme="minorHAnsi" w:hAnsiTheme="minorHAnsi" w:cstheme="minorHAnsi"/>
          <w:color w:val="000000" w:themeColor="text1"/>
          <w:sz w:val="24"/>
          <w:szCs w:val="24"/>
        </w:rPr>
        <w:t xml:space="preserve">), which </w:t>
      </w:r>
      <w:r w:rsidRPr="00E45955">
        <w:rPr>
          <w:rFonts w:asciiTheme="minorHAnsi" w:hAnsiTheme="minorHAnsi" w:cstheme="minorHAnsi"/>
          <w:color w:val="000000" w:themeColor="text1"/>
          <w:sz w:val="24"/>
          <w:szCs w:val="24"/>
        </w:rPr>
        <w:t xml:space="preserve">was crucial in ensuring the </w:t>
      </w:r>
      <w:r>
        <w:rPr>
          <w:rFonts w:asciiTheme="minorHAnsi" w:hAnsiTheme="minorHAnsi" w:cstheme="minorHAnsi"/>
          <w:color w:val="000000" w:themeColor="text1"/>
          <w:sz w:val="24"/>
          <w:szCs w:val="24"/>
        </w:rPr>
        <w:t>study</w:t>
      </w:r>
      <w:r w:rsidRPr="00E45955">
        <w:rPr>
          <w:rFonts w:asciiTheme="minorHAnsi" w:hAnsiTheme="minorHAnsi" w:cstheme="minorHAnsi"/>
          <w:color w:val="000000" w:themeColor="text1"/>
          <w:sz w:val="24"/>
          <w:szCs w:val="24"/>
        </w:rPr>
        <w:t xml:space="preserve"> was conducted in a culturally secure manner and grounded in the empowered Indigenous-lens</w:t>
      </w:r>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{"citationID":"uQQhIPHa","properties":{"formattedCitation":"\\super 26\\nosupersub{}","plainCitation":"26","noteIndex":0},"citationItems":[{"id":192,"uris":["http://zotero.org/users/6363004/items/SWZAG7JW"],"itemData":{"id":192,"type":"article-journal","language":"en","page":"271","source":"Zotero","title":"Indigenous knowledge and governance in protected areas in Australia and Sweden","author":[{"family":"Talbot","given":"Leah Dawn"}],"issued":{"date-parts":[["2017"]]}}}],"schema":"https://github.com/citation-style-language/schema/raw/master/csl-citation.json"} </w:instrText>
      </w:r>
      <w:r>
        <w:rPr>
          <w:rFonts w:asciiTheme="minorHAnsi" w:hAnsiTheme="minorHAnsi" w:cstheme="minorHAnsi"/>
          <w:color w:val="000000" w:themeColor="text1"/>
          <w:sz w:val="24"/>
          <w:szCs w:val="24"/>
        </w:rPr>
        <w:fldChar w:fldCharType="separate"/>
      </w:r>
      <w:r w:rsidRPr="00700CAD">
        <w:rPr>
          <w:rFonts w:hAnsiTheme="minorHAnsi"/>
          <w:color w:val="000000"/>
          <w:sz w:val="24"/>
          <w:vertAlign w:val="superscript"/>
          <w:lang w:val="en-GB"/>
        </w:rPr>
        <w:t>26</w:t>
      </w:r>
      <w:r>
        <w:rPr>
          <w:rFonts w:asciiTheme="minorHAnsi" w:hAnsiTheme="minorHAnsi" w:cstheme="minorHAnsi"/>
          <w:color w:val="000000" w:themeColor="text1"/>
          <w:sz w:val="24"/>
          <w:szCs w:val="24"/>
        </w:rPr>
        <w:fldChar w:fldCharType="end"/>
      </w:r>
      <w:r w:rsidRPr="00E45955">
        <w:rPr>
          <w:rFonts w:asciiTheme="minorHAnsi" w:hAnsiTheme="minorHAnsi" w:cstheme="minorHAnsi"/>
          <w:color w:val="000000" w:themeColor="text1"/>
          <w:sz w:val="24"/>
          <w:szCs w:val="24"/>
        </w:rPr>
        <w:t>. Ethics and methods were co-authored with JAAC</w:t>
      </w:r>
      <w:r>
        <w:rPr>
          <w:rFonts w:asciiTheme="minorHAnsi" w:hAnsiTheme="minorHAnsi" w:cstheme="minorHAnsi"/>
          <w:color w:val="000000" w:themeColor="text1"/>
          <w:sz w:val="24"/>
          <w:szCs w:val="24"/>
        </w:rPr>
        <w:t xml:space="preserve">. </w:t>
      </w:r>
      <w:r w:rsidRPr="006375BF">
        <w:rPr>
          <w:rFonts w:asciiTheme="minorHAnsi" w:hAnsiTheme="minorHAnsi" w:cstheme="minorHAnsi"/>
          <w:color w:val="000000" w:themeColor="text1"/>
          <w:sz w:val="24"/>
          <w:szCs w:val="24"/>
        </w:rPr>
        <w:t xml:space="preserve">The study was carried out with approvals from </w:t>
      </w:r>
      <w:r>
        <w:rPr>
          <w:rFonts w:asciiTheme="minorHAnsi" w:hAnsiTheme="minorHAnsi" w:cstheme="minorHAnsi"/>
          <w:color w:val="000000" w:themeColor="text1"/>
          <w:sz w:val="24"/>
          <w:szCs w:val="24"/>
        </w:rPr>
        <w:t xml:space="preserve">JAAC </w:t>
      </w:r>
      <w:r w:rsidRPr="006375BF">
        <w:rPr>
          <w:rFonts w:asciiTheme="minorHAnsi" w:hAnsiTheme="minorHAnsi" w:cstheme="minorHAnsi"/>
          <w:color w:val="000000" w:themeColor="text1"/>
          <w:sz w:val="24"/>
          <w:szCs w:val="24"/>
        </w:rPr>
        <w:t>and the University of Melbourne Human Research Ethics (approval number 24293).</w:t>
      </w:r>
      <w:r>
        <w:rPr>
          <w:rFonts w:asciiTheme="minorHAnsi" w:hAnsiTheme="minorHAnsi" w:cstheme="minorHAnsi"/>
          <w:color w:val="000000" w:themeColor="text1"/>
          <w:sz w:val="24"/>
          <w:szCs w:val="24"/>
        </w:rPr>
        <w:t xml:space="preserve">  </w:t>
      </w:r>
      <w:r w:rsidRPr="00E45955">
        <w:rPr>
          <w:rFonts w:asciiTheme="minorHAnsi" w:hAnsiTheme="minorHAnsi" w:cstheme="minorHAnsi"/>
          <w:color w:val="000000" w:themeColor="text1"/>
          <w:sz w:val="24"/>
          <w:szCs w:val="24"/>
        </w:rPr>
        <w:t xml:space="preserve">A data sharing agreement was central to the partnership with all data stored and owned by JAAC and the Bundjalung </w:t>
      </w:r>
      <w:r w:rsidRPr="00E45955">
        <w:rPr>
          <w:rFonts w:asciiTheme="minorHAnsi" w:hAnsiTheme="minorHAnsi" w:cstheme="minorHAnsi"/>
          <w:color w:val="000000" w:themeColor="text1"/>
          <w:sz w:val="24"/>
          <w:szCs w:val="24"/>
        </w:rPr>
        <w:lastRenderedPageBreak/>
        <w:t>community. JAAC were able to leverage existing relationships and reputation in community to engage Bundjalung leaders and experts in CSE and traditional management approaches.</w:t>
      </w:r>
      <w:r>
        <w:rPr>
          <w:rFonts w:asciiTheme="minorHAnsi" w:hAnsiTheme="minorHAnsi" w:cstheme="minorHAnsi"/>
          <w:color w:val="000000" w:themeColor="text1"/>
          <w:sz w:val="24"/>
          <w:szCs w:val="24"/>
        </w:rPr>
        <w:t xml:space="preserve"> Indigenous </w:t>
      </w:r>
      <w:r w:rsidRPr="006375BF">
        <w:rPr>
          <w:rFonts w:asciiTheme="minorHAnsi" w:hAnsiTheme="minorHAnsi" w:cstheme="minorHAnsi"/>
          <w:color w:val="000000" w:themeColor="text1"/>
          <w:sz w:val="24"/>
          <w:szCs w:val="24"/>
        </w:rPr>
        <w:t>co-authors were renumerated</w:t>
      </w:r>
      <w:r>
        <w:rPr>
          <w:rFonts w:asciiTheme="minorHAnsi" w:hAnsiTheme="minorHAnsi" w:cstheme="minorHAnsi"/>
          <w:color w:val="000000" w:themeColor="text1"/>
          <w:sz w:val="24"/>
          <w:szCs w:val="24"/>
        </w:rPr>
        <w:t xml:space="preserve"> for their expertise and Bundjalung Community participants were provided with travel allowances</w:t>
      </w:r>
      <w:r w:rsidRPr="006375BF">
        <w:rPr>
          <w:rFonts w:asciiTheme="minorHAnsi" w:hAnsiTheme="minorHAnsi" w:cstheme="minorHAnsi"/>
          <w:color w:val="000000" w:themeColor="text1"/>
          <w:sz w:val="24"/>
          <w:szCs w:val="24"/>
        </w:rPr>
        <w:t>.</w:t>
      </w:r>
    </w:p>
    <w:p w14:paraId="327FA6B4" w14:textId="77777777" w:rsidR="00A041A3" w:rsidRDefault="00A041A3" w:rsidP="00A041A3">
      <w:pPr>
        <w:pStyle w:val="BodyText"/>
        <w:spacing w:line="360" w:lineRule="auto"/>
        <w:ind w:right="1056"/>
        <w:rPr>
          <w:rFonts w:asciiTheme="minorHAnsi" w:hAnsiTheme="minorHAnsi" w:cstheme="minorHAnsi"/>
          <w:b/>
          <w:bCs/>
          <w:color w:val="000000" w:themeColor="text1"/>
        </w:rPr>
      </w:pPr>
    </w:p>
    <w:p w14:paraId="662B0834" w14:textId="77777777" w:rsidR="00A041A3" w:rsidRPr="00A8569D" w:rsidRDefault="00A041A3" w:rsidP="00A041A3">
      <w:pPr>
        <w:pStyle w:val="BodyText"/>
        <w:spacing w:line="360" w:lineRule="auto"/>
        <w:ind w:right="1056"/>
        <w:rPr>
          <w:rFonts w:asciiTheme="minorHAnsi" w:hAnsiTheme="minorHAnsi" w:cstheme="minorHAnsi"/>
          <w:b/>
          <w:bCs/>
          <w:color w:val="000000" w:themeColor="text1"/>
        </w:rPr>
      </w:pPr>
      <w:r>
        <w:rPr>
          <w:rFonts w:asciiTheme="minorHAnsi" w:hAnsiTheme="minorHAnsi" w:cstheme="minorHAnsi"/>
          <w:b/>
          <w:bCs/>
          <w:color w:val="000000" w:themeColor="text1"/>
        </w:rPr>
        <w:t>Cultural landscape</w:t>
      </w:r>
    </w:p>
    <w:p w14:paraId="1BE6914E" w14:textId="77777777" w:rsidR="00A041A3" w:rsidRDefault="00A041A3" w:rsidP="00A041A3">
      <w:pPr>
        <w:spacing w:line="36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Bundjalung Country (</w:t>
      </w:r>
      <w:r>
        <w:rPr>
          <w:rFonts w:asciiTheme="minorHAnsi" w:hAnsiTheme="minorHAnsi" w:cstheme="minorBidi"/>
          <w:sz w:val="24"/>
          <w:szCs w:val="24"/>
          <w:lang w:eastAsia="en-GB"/>
        </w:rPr>
        <w:t xml:space="preserve">Extended data </w:t>
      </w:r>
      <w:r>
        <w:rPr>
          <w:rFonts w:asciiTheme="minorHAnsi" w:hAnsiTheme="minorHAnsi" w:cstheme="minorHAnsi"/>
          <w:color w:val="000000" w:themeColor="text1"/>
          <w:sz w:val="24"/>
          <w:szCs w:val="24"/>
        </w:rPr>
        <w:t xml:space="preserve">Figure 2) comprises of about ten clan groups, covering an area from Logan River in the north, to the Clarence River in the South, and from the coast to the Warwick in the west. In recent years, Bundjalung Country has been severely impacted by natural disasters. Including the 2022 floods and the 2019-2020 bush fire season </w:t>
      </w:r>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{"citationID":"koHF9I67","properties":{"formattedCitation":"\\super 19\\nosupersub{}","plainCitation":"19","noteIndex":0},"citationItems":[{"id":535,"uris":["http://zotero.org/users/6363004/items/8ZKRV3AB"],"itemData":{"id":535,"type":"webpage","abstract":"The 2019–20 bushfire season was the worst New South Wales (NSW) has recorded. Higher than average temperatures and low moisture levels in bushfire fuels following several years of drought enabled devastating fires to burn across much of the state, with intense bushfire weather conditions continuing through most of the fire season. Over the course of a few months, 26 lives were lost, 2,448 homes were destroyed and 5.5 million hectares (ha) of land was burnt. The impact on NSW communities, farmers, local businesses, wildlife and bushland was unprecedented.","title":"Black Summer bushfires, NSW, 2019-20 | Australian Disaster Resilience Knowledge Hub","URL":"https://knowledge.aidr.org.au/resources/black-summer-bushfires-nsw-2019-20/","author":[{"family":"State of New South Wales","given":""}],"accessed":{"date-parts":[["2023",1,1]]},"issued":{"date-parts":[["2021"]]}}}],"schema":"https://github.com/citation-style-language/schema/raw/master/csl-citation.json"} </w:instrText>
      </w:r>
      <w:r>
        <w:rPr>
          <w:rFonts w:asciiTheme="minorHAnsi" w:hAnsiTheme="minorHAnsi" w:cstheme="minorHAnsi"/>
          <w:color w:val="000000" w:themeColor="text1"/>
          <w:sz w:val="24"/>
          <w:szCs w:val="24"/>
        </w:rPr>
        <w:fldChar w:fldCharType="separate"/>
      </w:r>
      <w:r w:rsidRPr="00700CAD">
        <w:rPr>
          <w:rFonts w:hAnsiTheme="minorHAnsi"/>
          <w:color w:val="000000"/>
          <w:sz w:val="24"/>
          <w:vertAlign w:val="superscript"/>
          <w:lang w:val="en-GB"/>
        </w:rPr>
        <w:t>19</w:t>
      </w:r>
      <w:r>
        <w:rPr>
          <w:rFonts w:asciiTheme="minorHAnsi" w:hAnsiTheme="minorHAnsi" w:cstheme="minorHAnsi"/>
          <w:color w:val="000000" w:themeColor="text1"/>
          <w:sz w:val="24"/>
          <w:szCs w:val="24"/>
        </w:rPr>
        <w:fldChar w:fldCharType="end"/>
      </w:r>
      <w:r>
        <w:rPr>
          <w:rFonts w:asciiTheme="minorHAnsi" w:hAnsiTheme="minorHAnsi" w:cstheme="minorHAnsi"/>
          <w:color w:val="000000" w:themeColor="text1"/>
          <w:sz w:val="24"/>
          <w:szCs w:val="24"/>
        </w:rPr>
        <w:t xml:space="preserve">.  In the </w:t>
      </w:r>
      <w:r w:rsidRPr="00536C4A">
        <w:rPr>
          <w:rFonts w:asciiTheme="minorHAnsi" w:hAnsiTheme="minorHAnsi" w:cstheme="minorHAnsi"/>
          <w:color w:val="000000" w:themeColor="text1"/>
          <w:sz w:val="24"/>
          <w:szCs w:val="24"/>
        </w:rPr>
        <w:t>bioregion, there are currently 349 entities listed under the NSW Threatened Species Conservation Act plus 21 species listed on the EPBC Act. The region is also subject to 36 key threatening processes</w:t>
      </w:r>
      <w:r>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{"citationID":"Kf9jGf8O","properties":{"formattedCitation":"\\super 12\\nosupersub{}","plainCitation":"12","noteIndex":0},"citationItems":[{"id":569,"uris":["http://zotero.org/users/6363004/items/P6PCCCDC"],"itemData":{"id":569,"type":"webpage","title":"Threatened Species found in South Eastern Queensland IBRA | NSW Environment, Energy and Science","URL":"https://www.environment.nsw.gov.au/threatenedSpeciesApp/cmaSearchResults.aspx?CmaName=South%20Eastern%20Queensland&amp;SubCmaId=0","author":[{"family":"State of New South Wales","given":""}],"accessed":{"date-parts":[["2023",2,25]]},"issued":{"date-parts":[["2022"]]}}}],"schema":"https://github.com/citation-style-language/schema/raw/master/csl-citation.json"} </w:instrText>
      </w:r>
      <w:r>
        <w:rPr>
          <w:rFonts w:asciiTheme="minorHAnsi" w:hAnsiTheme="minorHAnsi" w:cstheme="minorHAnsi"/>
          <w:color w:val="000000" w:themeColor="text1"/>
          <w:sz w:val="24"/>
          <w:szCs w:val="24"/>
        </w:rPr>
        <w:fldChar w:fldCharType="separate"/>
      </w:r>
      <w:r w:rsidRPr="00700CAD">
        <w:rPr>
          <w:rFonts w:hAnsiTheme="minorHAnsi"/>
          <w:color w:val="000000"/>
          <w:sz w:val="24"/>
          <w:vertAlign w:val="superscript"/>
          <w:lang w:val="en-GB"/>
        </w:rPr>
        <w:t>12</w:t>
      </w:r>
      <w:r>
        <w:rPr>
          <w:rFonts w:asciiTheme="minorHAnsi" w:hAnsiTheme="minorHAnsi" w:cstheme="minorHAnsi"/>
          <w:color w:val="000000" w:themeColor="text1"/>
          <w:sz w:val="24"/>
          <w:szCs w:val="24"/>
        </w:rPr>
        <w:fldChar w:fldCharType="end"/>
      </w:r>
      <w:r w:rsidRPr="00536C4A">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For decades, Bundjalung have been advocating to decision makers to draw on the wealth of their knowledge system to manage Country </w:t>
      </w:r>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{"citationID":"gZJPYORA","properties":{"formattedCitation":"\\super 32\\nosupersub{}","plainCitation":"32","noteIndex":0},"citationItems":[{"id":524,"uris":["http://zotero.org/users/6363004/items/7U2YYBMV"],"itemData":{"id":524,"type":"article-journal","abstract":"Abstract\n            Despite increased engagement of Indigenous representatives as participants on consultative panels charged with processes of natural resource management, concerns have been raised by both Indigenous representatives and management agencies regarding the ability of Indigenous people to have quality input into the decisions these processes produce. In order to determine how to more effectively engage Australian Aboriginal peoples in the management process, this article describes the results of interviews with Elders of the Bundjalung Nation and other community representatives who represent their community's interests on natural resource management boards within their traditional country. Community representatives identified the factors they considered important in understanding natural resource management and administrative processes and where training would enable them to make a significant contribution to the consultation process. It also highlighted a need for non-Indigenous managers to gain a greater understanding of Indigenous knowledge systems and protocols.","container-title":"Australian Journal of Environmental Education","DOI":"10.1017/S0814062600002342","ISSN":"0814-0626, 2049-775X","issue":"1","journalAbbreviation":"Aust. J. environ. educ.","language":"en","page":"101-113","source":"DOI.org (Crossref)","title":"Identifying Training Needs to Improve Indigenous Community Representatives Input into Environmental Resource Management Consultative Processes: A case study of the Bundjalung Nation","title-short":"Identifying Training Needs to Improve Indigenous Community Representatives Input into Environmental Resource Management Consultative Processes","volume":"20","author":[{"family":"Lloyd","given":"David"},{"family":"Norrie","given":"Fiona"}],"issued":{"date-parts":[["2004"]]}}}],"schema":"https://github.com/citation-style-language/schema/raw/master/csl-citation.json"} </w:instrText>
      </w:r>
      <w:r>
        <w:rPr>
          <w:rFonts w:asciiTheme="minorHAnsi" w:hAnsiTheme="minorHAnsi" w:cstheme="minorHAnsi"/>
          <w:color w:val="000000" w:themeColor="text1"/>
          <w:sz w:val="24"/>
          <w:szCs w:val="24"/>
        </w:rPr>
        <w:fldChar w:fldCharType="separate"/>
      </w:r>
      <w:r w:rsidRPr="00700CAD">
        <w:rPr>
          <w:rFonts w:hAnsiTheme="minorHAnsi"/>
          <w:color w:val="000000"/>
          <w:sz w:val="24"/>
          <w:vertAlign w:val="superscript"/>
          <w:lang w:val="en-GB"/>
        </w:rPr>
        <w:t>32</w:t>
      </w:r>
      <w:r>
        <w:rPr>
          <w:rFonts w:asciiTheme="minorHAnsi" w:hAnsiTheme="minorHAnsi" w:cstheme="minorHAnsi"/>
          <w:color w:val="000000" w:themeColor="text1"/>
          <w:sz w:val="24"/>
          <w:szCs w:val="24"/>
        </w:rPr>
        <w:fldChar w:fldCharType="end"/>
      </w:r>
      <w:r>
        <w:rPr>
          <w:rFonts w:asciiTheme="minorHAnsi" w:hAnsiTheme="minorHAnsi" w:cstheme="minorHAnsi"/>
          <w:color w:val="000000" w:themeColor="text1"/>
          <w:sz w:val="24"/>
          <w:szCs w:val="24"/>
        </w:rPr>
        <w:t xml:space="preserve">, emphasizing that the Bundjalung community want to see their Country healthy and plentiful.  </w:t>
      </w:r>
      <w:r>
        <w:rPr>
          <w:rFonts w:asciiTheme="minorHAnsi" w:hAnsiTheme="minorHAnsi" w:cstheme="minorHAnsi"/>
          <w:color w:val="000000" w:themeColor="text1"/>
          <w:sz w:val="24"/>
          <w:szCs w:val="24"/>
        </w:rPr>
        <w:br/>
      </w:r>
      <w:r>
        <w:rPr>
          <w:rFonts w:asciiTheme="minorHAnsi" w:hAnsiTheme="minorHAnsi" w:cstheme="minorHAnsi"/>
          <w:color w:val="000000" w:themeColor="text1"/>
          <w:sz w:val="24"/>
          <w:szCs w:val="24"/>
        </w:rPr>
        <w:br/>
      </w:r>
      <w:r>
        <w:rPr>
          <w:rFonts w:asciiTheme="minorHAnsi" w:hAnsiTheme="minorHAnsi" w:cstheme="minorHAnsi"/>
          <w:noProof/>
          <w:color w:val="000000" w:themeColor="text1"/>
          <w:sz w:val="24"/>
          <w:szCs w:val="24"/>
        </w:rPr>
        <w:drawing>
          <wp:inline distT="0" distB="0" distL="0" distR="0" wp14:anchorId="08B8620A" wp14:editId="2495CDA3">
            <wp:extent cx="2318385" cy="2366010"/>
            <wp:effectExtent l="0" t="0" r="5715" b="0"/>
            <wp:docPr id="5" name="Picture 5" descr="A picture containing text, map, diagram,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map, diagram, whit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18385" cy="2366010"/>
                    </a:xfrm>
                    <a:prstGeom prst="rect">
                      <a:avLst/>
                    </a:prstGeom>
                  </pic:spPr>
                </pic:pic>
              </a:graphicData>
            </a:graphic>
          </wp:inline>
        </w:drawing>
      </w:r>
    </w:p>
    <w:p w14:paraId="77610BB7" w14:textId="77777777" w:rsidR="00A041A3" w:rsidRPr="00E45955" w:rsidRDefault="00A041A3" w:rsidP="00A041A3">
      <w:pPr>
        <w:spacing w:line="360" w:lineRule="auto"/>
        <w:rPr>
          <w:rFonts w:asciiTheme="minorHAnsi" w:hAnsiTheme="minorHAnsi" w:cstheme="minorHAnsi"/>
          <w:color w:val="000000" w:themeColor="text1"/>
          <w:sz w:val="24"/>
          <w:szCs w:val="24"/>
        </w:rPr>
      </w:pPr>
      <w:r>
        <w:rPr>
          <w:rFonts w:asciiTheme="minorHAnsi" w:hAnsiTheme="minorHAnsi" w:cstheme="minorBidi"/>
          <w:sz w:val="24"/>
          <w:szCs w:val="24"/>
          <w:lang w:eastAsia="en-GB"/>
        </w:rPr>
        <w:t xml:space="preserve">Extended data </w:t>
      </w:r>
      <w:r>
        <w:rPr>
          <w:rFonts w:asciiTheme="minorHAnsi" w:hAnsiTheme="minorHAnsi" w:cstheme="minorHAnsi"/>
          <w:color w:val="000000" w:themeColor="text1"/>
          <w:sz w:val="24"/>
          <w:szCs w:val="24"/>
        </w:rPr>
        <w:t xml:space="preserve">Figure 2: Location of Bundjalung Country in North-Eastern New South Wales, Australia. </w:t>
      </w:r>
    </w:p>
    <w:p w14:paraId="610B5607" w14:textId="77777777" w:rsidR="00A041A3" w:rsidRDefault="00A041A3" w:rsidP="00A041A3">
      <w:pPr>
        <w:pStyle w:val="Heading2"/>
        <w:spacing w:line="360" w:lineRule="auto"/>
        <w:ind w:left="0"/>
        <w:rPr>
          <w:rFonts w:asciiTheme="minorHAnsi" w:hAnsiTheme="minorHAnsi" w:cstheme="minorHAnsi"/>
        </w:rPr>
      </w:pPr>
    </w:p>
    <w:p w14:paraId="0AF02FC6" w14:textId="77777777" w:rsidR="00A041A3" w:rsidRPr="006375BF" w:rsidRDefault="00A041A3" w:rsidP="00A041A3">
      <w:pPr>
        <w:pStyle w:val="Heading2"/>
        <w:spacing w:line="360" w:lineRule="auto"/>
        <w:ind w:left="0"/>
        <w:rPr>
          <w:rFonts w:asciiTheme="minorHAnsi" w:hAnsiTheme="minorHAnsi" w:cstheme="minorHAnsi"/>
          <w:color w:val="000000" w:themeColor="text1"/>
        </w:rPr>
      </w:pPr>
      <w:r>
        <w:rPr>
          <w:rFonts w:asciiTheme="minorHAnsi" w:hAnsiTheme="minorHAnsi" w:cstheme="minorHAnsi"/>
        </w:rPr>
        <w:t xml:space="preserve">Structured Decision-Making </w:t>
      </w:r>
      <w:r>
        <w:rPr>
          <w:rFonts w:asciiTheme="minorHAnsi" w:hAnsiTheme="minorHAnsi" w:cstheme="minorHAnsi"/>
          <w:color w:val="000000" w:themeColor="text1"/>
        </w:rPr>
        <w:t>framework</w:t>
      </w:r>
    </w:p>
    <w:p w14:paraId="3B65819E" w14:textId="77777777" w:rsidR="00A041A3" w:rsidRPr="00884BD9" w:rsidRDefault="00A041A3" w:rsidP="00A041A3">
      <w:pPr>
        <w:pStyle w:val="BodyText"/>
        <w:spacing w:before="2" w:line="360" w:lineRule="auto"/>
        <w:ind w:right="709"/>
        <w:rPr>
          <w:rFonts w:asciiTheme="minorHAnsi" w:hAnsiTheme="minorHAnsi" w:cstheme="minorHAnsi"/>
          <w:i/>
          <w:iCs/>
          <w:color w:val="000000" w:themeColor="text1"/>
        </w:rPr>
      </w:pPr>
      <w:r w:rsidRPr="00884BD9">
        <w:rPr>
          <w:rFonts w:asciiTheme="minorHAnsi" w:hAnsiTheme="minorHAnsi" w:cstheme="minorHAnsi"/>
          <w:b/>
          <w:i/>
          <w:iCs/>
          <w:color w:val="000000" w:themeColor="text1"/>
        </w:rPr>
        <w:t>Step one</w:t>
      </w:r>
      <w:r>
        <w:rPr>
          <w:rFonts w:asciiTheme="minorHAnsi" w:hAnsiTheme="minorHAnsi" w:cstheme="minorHAnsi"/>
          <w:b/>
          <w:i/>
          <w:iCs/>
          <w:color w:val="000000" w:themeColor="text1"/>
        </w:rPr>
        <w:t>:</w:t>
      </w:r>
      <w:r w:rsidRPr="00884BD9">
        <w:rPr>
          <w:rFonts w:asciiTheme="minorHAnsi" w:hAnsiTheme="minorHAnsi" w:cstheme="minorHAnsi"/>
          <w:b/>
          <w:i/>
          <w:iCs/>
          <w:color w:val="000000" w:themeColor="text1"/>
        </w:rPr>
        <w:t xml:space="preserve"> </w:t>
      </w:r>
      <w:r>
        <w:rPr>
          <w:rFonts w:asciiTheme="minorHAnsi" w:hAnsiTheme="minorHAnsi" w:cstheme="minorHAnsi"/>
          <w:bCs/>
          <w:i/>
          <w:iCs/>
          <w:color w:val="000000" w:themeColor="text1"/>
        </w:rPr>
        <w:t xml:space="preserve">Developing an Australian-centric definition for CSE and its alignment to laws </w:t>
      </w:r>
      <w:r>
        <w:rPr>
          <w:rFonts w:asciiTheme="minorHAnsi" w:hAnsiTheme="minorHAnsi" w:cstheme="minorHAnsi"/>
          <w:bCs/>
          <w:i/>
          <w:iCs/>
          <w:color w:val="000000" w:themeColor="text1"/>
        </w:rPr>
        <w:lastRenderedPageBreak/>
        <w:t>and mandates</w:t>
      </w:r>
      <w:r w:rsidRPr="00C2443E">
        <w:rPr>
          <w:rFonts w:asciiTheme="minorHAnsi" w:hAnsiTheme="minorHAnsi" w:cstheme="minorHAnsi"/>
          <w:bCs/>
          <w:i/>
          <w:iCs/>
          <w:color w:val="000000" w:themeColor="text1"/>
        </w:rPr>
        <w:t>.</w:t>
      </w:r>
    </w:p>
    <w:p w14:paraId="402A5733" w14:textId="77777777" w:rsidR="00A041A3" w:rsidRPr="00951BF0" w:rsidRDefault="00A041A3" w:rsidP="00A041A3">
      <w:pPr>
        <w:adjustRightInd w:val="0"/>
        <w:spacing w:line="360" w:lineRule="auto"/>
        <w:rPr>
          <w:rFonts w:ascii="FuturaStd-Book" w:eastAsia="FuturaStd-Book" w:hAnsiTheme="minorHAnsi" w:cs="FuturaStd-Book"/>
          <w:color w:val="4A4A49"/>
          <w:sz w:val="24"/>
          <w:szCs w:val="24"/>
        </w:rPr>
      </w:pPr>
      <w:r>
        <w:rPr>
          <w:rFonts w:asciiTheme="minorHAnsi" w:hAnsiTheme="minorHAnsi" w:cstheme="minorHAnsi"/>
          <w:color w:val="000000" w:themeColor="text1"/>
          <w:sz w:val="24"/>
          <w:szCs w:val="24"/>
        </w:rPr>
        <w:t>The first step in decision-making is determining what is the context for the decision. We convened a</w:t>
      </w:r>
      <w:r w:rsidRPr="006375BF">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roundtable</w:t>
      </w:r>
      <w:r w:rsidRPr="006375BF">
        <w:rPr>
          <w:rFonts w:asciiTheme="minorHAnsi" w:hAnsiTheme="minorHAnsi" w:cstheme="minorHAnsi"/>
          <w:color w:val="000000" w:themeColor="text1"/>
          <w:sz w:val="24"/>
          <w:szCs w:val="24"/>
        </w:rPr>
        <w:t xml:space="preserve"> of Indigenous experts </w:t>
      </w:r>
      <w:r>
        <w:rPr>
          <w:rFonts w:asciiTheme="minorHAnsi" w:hAnsiTheme="minorHAnsi" w:cstheme="minorHAnsi"/>
          <w:color w:val="000000" w:themeColor="text1"/>
          <w:sz w:val="24"/>
          <w:szCs w:val="24"/>
        </w:rPr>
        <w:t>(N = 5)</w:t>
      </w:r>
      <w:r w:rsidRPr="006375BF">
        <w:rPr>
          <w:rFonts w:asciiTheme="minorHAnsi" w:hAnsiTheme="minorHAnsi" w:cstheme="minorHAnsi"/>
          <w:color w:val="000000" w:themeColor="text1"/>
          <w:sz w:val="24"/>
          <w:szCs w:val="24"/>
        </w:rPr>
        <w:t>, who have extensive experience in Indigenous-led work of national and international matters relating to biodiversity</w:t>
      </w:r>
      <w:r>
        <w:rPr>
          <w:rFonts w:asciiTheme="minorHAnsi" w:hAnsiTheme="minorHAnsi" w:cstheme="minorHAnsi"/>
          <w:color w:val="000000" w:themeColor="text1"/>
          <w:sz w:val="24"/>
          <w:szCs w:val="24"/>
        </w:rPr>
        <w:t xml:space="preserve">. </w:t>
      </w:r>
      <w:r>
        <w:rPr>
          <w:rFonts w:asciiTheme="minorHAnsi" w:hAnsiTheme="minorHAnsi" w:cstheme="minorHAnsi"/>
          <w:sz w:val="24"/>
          <w:szCs w:val="24"/>
        </w:rPr>
        <w:t>The expert group emphasized the connections with international mandates, laws, and policies</w:t>
      </w:r>
      <w:r w:rsidRPr="00A670B1">
        <w:rPr>
          <w:rFonts w:asciiTheme="minorHAnsi" w:hAnsiTheme="minorHAnsi" w:cstheme="minorBidi"/>
          <w:sz w:val="24"/>
          <w:szCs w:val="24"/>
        </w:rPr>
        <w:t xml:space="preserve">. </w:t>
      </w:r>
      <w:r>
        <w:rPr>
          <w:rFonts w:asciiTheme="minorHAnsi" w:hAnsiTheme="minorHAnsi" w:cstheme="minorBidi"/>
          <w:sz w:val="24"/>
          <w:szCs w:val="24"/>
        </w:rPr>
        <w:t xml:space="preserve">As an output of these discussions the group proposed a suite of reform options and policy recommendations for the Australian government to consider in its review of the EPBC Act </w:t>
      </w:r>
      <w:r>
        <w:rPr>
          <w:rFonts w:asciiTheme="minorHAnsi" w:hAnsiTheme="minorHAnsi" w:cstheme="minorBidi"/>
          <w:sz w:val="24"/>
          <w:szCs w:val="24"/>
        </w:rPr>
        <w:fldChar w:fldCharType="begin"/>
      </w:r>
      <w:r>
        <w:rPr>
          <w:rFonts w:asciiTheme="minorHAnsi" w:hAnsiTheme="minorHAnsi" w:cstheme="minorBidi"/>
          <w:sz w:val="24"/>
          <w:szCs w:val="24"/>
        </w:rPr>
        <w:instrText xml:space="preserve"> ADDIN ZOTERO_ITEM CSL_CITATION {"citationID":"hoWH3Z7u","properties":{"formattedCitation":"\\super 4\\nosupersub{}","plainCitation":"4","noteIndex":0},"citationItems":[{"id":563,"uris":["http://zotero.org/users/6363004/items/E8WBXBND","http://zotero.org/users/6363004/items/GF5HBVYT"],"itemData":{"id":563,"type":"article-journal","abstract":"Increasingly the importance of Indigenous participation is acknowledged as central to effective biodiversity conservation. Traditional management emphasizes the importance of a holistic, integrated approach to safeguard species and ecological communities of cultural significance. This is discordant with many instruments for biodiversity conservation. Indigenous Australians have consistently lobbied for domestic laws to be amended to establish comanagement as the preferred approach to managing significant species and ecological communities – an approach that aligns with international obligations such as the Convention on Biological Diversity and the United Nations Declaration on the Rights of Indigenous Peoples. We describe amendments to Australia's biodiversity legislation and the use of biocultural indicators that would support Traditional management of Culturally Significant Entities (species and ecological communities), and in turn, assist Australia to effectively conserve biodiversity and meet international obligations. The ongoing challenge will be in empowering Indigenous peoples and their governance structures to implement enduring change.","container-title":"Conservation Letters","DOI":"10.1111/conl.12899","ISSN":"1755-263X","issue":"6","language":"en","note":"_eprint: https://onlinelibrary.wiley.com/doi/pdf/10.1111/conl.12899","page":"e12899","source":"Wiley Online Library","title":"Recognizing culturally significant species and Indigenous-led management is key to meeting international biodiversity obligations","volume":"15","author":[{"family":"Goolmeer","given":"Teagan"},{"family":"Skroblin","given":"Anja"},{"family":"Grant","given":"Chrissy"},{"family":"Leeuwen","given":"Stephen","non-dropping-particle":"van"},{"family":"Archer","given":"Ricky"},{"family":"Gore-Birch","given":"Cissy"},{"family":"Wintle","given":"Brendan A."}],"issued":{"date-parts":[["2022"]]}}}],"schema":"https://github.com/citation-style-language/schema/raw/master/csl-citation.json"} </w:instrText>
      </w:r>
      <w:r>
        <w:rPr>
          <w:rFonts w:asciiTheme="minorHAnsi" w:hAnsiTheme="minorHAnsi" w:cstheme="minorBidi"/>
          <w:sz w:val="24"/>
          <w:szCs w:val="24"/>
        </w:rPr>
        <w:fldChar w:fldCharType="separate"/>
      </w:r>
      <w:r w:rsidRPr="00C47EF6">
        <w:rPr>
          <w:rFonts w:hAnsiTheme="minorHAnsi"/>
          <w:sz w:val="24"/>
          <w:vertAlign w:val="superscript"/>
          <w:lang w:val="en-GB"/>
        </w:rPr>
        <w:t>4</w:t>
      </w:r>
      <w:r>
        <w:rPr>
          <w:rFonts w:asciiTheme="minorHAnsi" w:hAnsiTheme="minorHAnsi" w:cstheme="minorBidi"/>
          <w:sz w:val="24"/>
          <w:szCs w:val="24"/>
        </w:rPr>
        <w:fldChar w:fldCharType="end"/>
      </w:r>
      <w:r>
        <w:rPr>
          <w:rFonts w:asciiTheme="minorHAnsi" w:hAnsiTheme="minorHAnsi" w:cstheme="minorBidi"/>
          <w:sz w:val="24"/>
          <w:szCs w:val="24"/>
        </w:rPr>
        <w:t xml:space="preserve">. </w:t>
      </w:r>
      <w:r w:rsidRPr="006375BF">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br/>
      </w:r>
    </w:p>
    <w:p w14:paraId="33602056" w14:textId="77777777" w:rsidR="00A041A3" w:rsidRDefault="00A041A3" w:rsidP="00A041A3">
      <w:pPr>
        <w:spacing w:line="360" w:lineRule="auto"/>
        <w:rPr>
          <w:rFonts w:asciiTheme="minorHAnsi" w:hAnsiTheme="minorHAnsi" w:cstheme="minorHAnsi"/>
          <w:b/>
          <w:i/>
          <w:iCs/>
          <w:color w:val="000000" w:themeColor="text1"/>
          <w:sz w:val="24"/>
          <w:szCs w:val="24"/>
        </w:rPr>
      </w:pPr>
      <w:r w:rsidRPr="00884BD9">
        <w:rPr>
          <w:rFonts w:asciiTheme="minorHAnsi" w:hAnsiTheme="minorHAnsi" w:cstheme="minorHAnsi"/>
          <w:b/>
          <w:i/>
          <w:iCs/>
          <w:color w:val="000000" w:themeColor="text1"/>
          <w:sz w:val="24"/>
          <w:szCs w:val="24"/>
        </w:rPr>
        <w:t>Step</w:t>
      </w:r>
      <w:r w:rsidRPr="00884BD9">
        <w:rPr>
          <w:rFonts w:asciiTheme="minorHAnsi" w:hAnsiTheme="minorHAnsi" w:cstheme="minorHAnsi"/>
          <w:b/>
          <w:i/>
          <w:iCs/>
          <w:color w:val="000000" w:themeColor="text1"/>
          <w:spacing w:val="-2"/>
          <w:sz w:val="24"/>
          <w:szCs w:val="24"/>
        </w:rPr>
        <w:t xml:space="preserve"> </w:t>
      </w:r>
      <w:r w:rsidRPr="00884BD9">
        <w:rPr>
          <w:rFonts w:asciiTheme="minorHAnsi" w:hAnsiTheme="minorHAnsi" w:cstheme="minorHAnsi"/>
          <w:b/>
          <w:i/>
          <w:iCs/>
          <w:color w:val="000000" w:themeColor="text1"/>
          <w:sz w:val="24"/>
          <w:szCs w:val="24"/>
        </w:rPr>
        <w:t>two</w:t>
      </w:r>
      <w:r>
        <w:rPr>
          <w:rFonts w:asciiTheme="minorHAnsi" w:hAnsiTheme="minorHAnsi" w:cstheme="minorHAnsi"/>
          <w:b/>
          <w:i/>
          <w:iCs/>
          <w:color w:val="000000" w:themeColor="text1"/>
          <w:sz w:val="24"/>
          <w:szCs w:val="24"/>
        </w:rPr>
        <w:t xml:space="preserve">: </w:t>
      </w:r>
      <w:r w:rsidRPr="00C2443E">
        <w:rPr>
          <w:rFonts w:asciiTheme="minorHAnsi" w:hAnsiTheme="minorHAnsi" w:cstheme="minorHAnsi"/>
          <w:bCs/>
          <w:i/>
          <w:iCs/>
          <w:color w:val="000000" w:themeColor="text1"/>
          <w:sz w:val="24"/>
          <w:szCs w:val="24"/>
        </w:rPr>
        <w:t>Setting</w:t>
      </w:r>
      <w:r w:rsidRPr="00C2443E">
        <w:rPr>
          <w:rFonts w:asciiTheme="minorHAnsi" w:hAnsiTheme="minorHAnsi" w:cstheme="minorHAnsi"/>
          <w:bCs/>
          <w:i/>
          <w:iCs/>
          <w:color w:val="000000" w:themeColor="text1"/>
          <w:spacing w:val="-1"/>
          <w:sz w:val="24"/>
          <w:szCs w:val="24"/>
        </w:rPr>
        <w:t xml:space="preserve"> </w:t>
      </w:r>
      <w:r w:rsidRPr="00C2443E">
        <w:rPr>
          <w:rFonts w:asciiTheme="minorHAnsi" w:hAnsiTheme="minorHAnsi" w:cstheme="minorHAnsi"/>
          <w:bCs/>
          <w:i/>
          <w:iCs/>
          <w:color w:val="000000" w:themeColor="text1"/>
          <w:sz w:val="24"/>
          <w:szCs w:val="24"/>
        </w:rPr>
        <w:t>objectives</w:t>
      </w:r>
      <w:r w:rsidRPr="00C2443E">
        <w:rPr>
          <w:rFonts w:asciiTheme="minorHAnsi" w:hAnsiTheme="minorHAnsi" w:cstheme="minorHAnsi"/>
          <w:bCs/>
          <w:i/>
          <w:iCs/>
          <w:color w:val="000000" w:themeColor="text1"/>
          <w:spacing w:val="-4"/>
          <w:sz w:val="24"/>
          <w:szCs w:val="24"/>
        </w:rPr>
        <w:t xml:space="preserve"> </w:t>
      </w:r>
      <w:r w:rsidRPr="00C2443E">
        <w:rPr>
          <w:rFonts w:asciiTheme="minorHAnsi" w:hAnsiTheme="minorHAnsi" w:cstheme="minorHAnsi"/>
          <w:bCs/>
          <w:i/>
          <w:iCs/>
          <w:color w:val="000000" w:themeColor="text1"/>
          <w:sz w:val="24"/>
          <w:szCs w:val="24"/>
        </w:rPr>
        <w:t>and</w:t>
      </w:r>
      <w:r w:rsidRPr="00C2443E">
        <w:rPr>
          <w:rFonts w:asciiTheme="minorHAnsi" w:hAnsiTheme="minorHAnsi" w:cstheme="minorHAnsi"/>
          <w:bCs/>
          <w:i/>
          <w:iCs/>
          <w:color w:val="000000" w:themeColor="text1"/>
          <w:spacing w:val="-6"/>
          <w:sz w:val="24"/>
          <w:szCs w:val="24"/>
        </w:rPr>
        <w:t xml:space="preserve"> </w:t>
      </w:r>
      <w:r w:rsidRPr="00C2443E">
        <w:rPr>
          <w:rFonts w:asciiTheme="minorHAnsi" w:hAnsiTheme="minorHAnsi" w:cstheme="minorHAnsi"/>
          <w:bCs/>
          <w:i/>
          <w:iCs/>
          <w:color w:val="000000" w:themeColor="text1"/>
          <w:sz w:val="24"/>
          <w:szCs w:val="24"/>
        </w:rPr>
        <w:t>bio</w:t>
      </w:r>
      <w:r>
        <w:rPr>
          <w:rFonts w:asciiTheme="minorHAnsi" w:hAnsiTheme="minorHAnsi" w:cstheme="minorHAnsi"/>
          <w:bCs/>
          <w:i/>
          <w:iCs/>
          <w:color w:val="000000" w:themeColor="text1"/>
          <w:sz w:val="24"/>
          <w:szCs w:val="24"/>
        </w:rPr>
        <w:t>c</w:t>
      </w:r>
      <w:r w:rsidRPr="00C2443E">
        <w:rPr>
          <w:rFonts w:asciiTheme="minorHAnsi" w:hAnsiTheme="minorHAnsi" w:cstheme="minorHAnsi"/>
          <w:bCs/>
          <w:i/>
          <w:iCs/>
          <w:color w:val="000000" w:themeColor="text1"/>
          <w:sz w:val="24"/>
          <w:szCs w:val="24"/>
        </w:rPr>
        <w:t>ultural</w:t>
      </w:r>
      <w:r w:rsidRPr="00C2443E">
        <w:rPr>
          <w:rFonts w:asciiTheme="minorHAnsi" w:hAnsiTheme="minorHAnsi" w:cstheme="minorHAnsi"/>
          <w:bCs/>
          <w:i/>
          <w:iCs/>
          <w:color w:val="000000" w:themeColor="text1"/>
          <w:spacing w:val="-2"/>
          <w:sz w:val="24"/>
          <w:szCs w:val="24"/>
        </w:rPr>
        <w:t xml:space="preserve"> </w:t>
      </w:r>
      <w:r w:rsidRPr="00C2443E">
        <w:rPr>
          <w:rFonts w:asciiTheme="minorHAnsi" w:hAnsiTheme="minorHAnsi" w:cstheme="minorHAnsi"/>
          <w:bCs/>
          <w:i/>
          <w:iCs/>
          <w:color w:val="000000" w:themeColor="text1"/>
          <w:sz w:val="24"/>
          <w:szCs w:val="24"/>
        </w:rPr>
        <w:t>measures.</w:t>
      </w:r>
    </w:p>
    <w:p w14:paraId="09C550CC" w14:textId="77777777" w:rsidR="00A041A3" w:rsidRDefault="00A041A3" w:rsidP="00A041A3">
      <w:pPr>
        <w:spacing w:line="360" w:lineRule="auto"/>
        <w:rPr>
          <w:rFonts w:asciiTheme="minorHAnsi" w:hAnsiTheme="minorHAnsi" w:cstheme="minorHAnsi"/>
          <w:color w:val="000000" w:themeColor="text1"/>
          <w:sz w:val="24"/>
          <w:szCs w:val="24"/>
        </w:rPr>
      </w:pPr>
      <w:r w:rsidRPr="006375BF">
        <w:rPr>
          <w:rFonts w:asciiTheme="minorHAnsi" w:hAnsiTheme="minorHAnsi" w:cstheme="minorHAnsi"/>
          <w:color w:val="000000" w:themeColor="text1"/>
          <w:spacing w:val="-1"/>
          <w:sz w:val="24"/>
          <w:szCs w:val="24"/>
        </w:rPr>
        <w:t>The expert group co-author</w:t>
      </w:r>
      <w:r>
        <w:rPr>
          <w:rFonts w:asciiTheme="minorHAnsi" w:hAnsiTheme="minorHAnsi" w:cstheme="minorHAnsi"/>
          <w:color w:val="000000" w:themeColor="text1"/>
          <w:spacing w:val="-1"/>
          <w:sz w:val="24"/>
          <w:szCs w:val="24"/>
        </w:rPr>
        <w:t>ed</w:t>
      </w:r>
      <w:r w:rsidRPr="006375BF">
        <w:rPr>
          <w:rFonts w:asciiTheme="minorHAnsi" w:hAnsiTheme="minorHAnsi" w:cstheme="minorHAnsi"/>
          <w:color w:val="000000" w:themeColor="text1"/>
          <w:spacing w:val="-1"/>
          <w:sz w:val="24"/>
          <w:szCs w:val="24"/>
        </w:rPr>
        <w:t xml:space="preserve"> the foundational objectives and biocultural </w:t>
      </w:r>
      <w:r w:rsidRPr="006375BF">
        <w:rPr>
          <w:rFonts w:asciiTheme="minorHAnsi" w:hAnsiTheme="minorHAnsi" w:cstheme="minorHAnsi"/>
          <w:color w:val="000000" w:themeColor="text1"/>
          <w:sz w:val="24"/>
          <w:szCs w:val="24"/>
        </w:rPr>
        <w:t xml:space="preserve">measures for CSE which recognize the environmental, social, spiritual wellbeing, economic and cultural values of the Indigenous Estate. </w:t>
      </w:r>
      <w:r>
        <w:rPr>
          <w:rFonts w:asciiTheme="minorHAnsi" w:hAnsiTheme="minorHAnsi" w:cstheme="minorHAnsi"/>
          <w:color w:val="000000" w:themeColor="text1"/>
          <w:sz w:val="24"/>
          <w:szCs w:val="24"/>
        </w:rPr>
        <w:t xml:space="preserve">In structured decision making, it is important that all foundational (or fundamental) objectives are defined and measurable, to enable evaluation of the performance of policy and management strategies </w:t>
      </w:r>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{"citationID":"blXKiI3H","properties":{"formattedCitation":"\\super 27\\nosupersub{}","plainCitation":"27","noteIndex":0},"citationItems":[{"id":200,"uris":["http://zotero.org/users/6363004/items/9L7BCQUC"],"itemData":{"id":200,"type":"book","abstract":"This book outlines the creative process of making environmental management decisions using the approach called Structured Decision Making. It is a short introductory guide to this popular form of decision making and is aimed at environmental managers and scientists.   This is a distinctly pragmatic label given to ways for helping individuals and groups think through tough multidimensional choices characterized by uncertain science, diverse stakeholders, and difficult tradeoffs. This is the everyday reality of environmental management, yet many important decisions currently are made on an ad hoc basis that lacks a solid value-based foundation, ignores key information, and results in selection of an inferior alternative. Making progress – in a way that is rigorous, inclusive, defensible and transparent – requires combining analytical methods drawn from the decision sciences and applied ecology with deliberative insights from cognitive psychology, facilitation and negotiation.   The authors review key methods and discuss case-study examples based in their experiences in communities, boardrooms, and stakeholder meetings. The goal of this book is to lay out a compelling guide that will change how you think about making environmental decisions. Visit www.wiley.com/go/gregory/sdm to access the figures and tables from the book.","ISBN":"978-1-4443-9853-3","language":"en","note":"Google-Books-ID: bT1_LFuK6LMC","number-of-pages":"315","publisher":"John Wiley &amp; Sons","source":"Google Books","title":"Structured Decision Making: A Practical Guide to Environmental Management Choices","title-short":"Structured Decision Making","author":[{"family":"Gregory","given":"Robin"},{"family":"Failing","given":"Lee"},{"family":"Harstone","given":"Michael"},{"family":"Long","given":"Graham"},{"family":"McDaniels","given":"Tim"},{"family":"Ohlson","given":"Dan"}],"issued":{"date-parts":[["2012",2,17]]}}}],"schema":"https://github.com/citation-style-language/schema/raw/master/csl-citation.json"} </w:instrText>
      </w:r>
      <w:r>
        <w:rPr>
          <w:rFonts w:asciiTheme="minorHAnsi" w:hAnsiTheme="minorHAnsi" w:cstheme="minorHAnsi"/>
          <w:color w:val="000000" w:themeColor="text1"/>
          <w:sz w:val="24"/>
          <w:szCs w:val="24"/>
        </w:rPr>
        <w:fldChar w:fldCharType="separate"/>
      </w:r>
      <w:r w:rsidRPr="00700CAD">
        <w:rPr>
          <w:rFonts w:hAnsiTheme="minorHAnsi"/>
          <w:color w:val="000000"/>
          <w:sz w:val="24"/>
          <w:vertAlign w:val="superscript"/>
          <w:lang w:val="en-GB"/>
        </w:rPr>
        <w:t>27</w:t>
      </w:r>
      <w:r>
        <w:rPr>
          <w:rFonts w:asciiTheme="minorHAnsi" w:hAnsiTheme="minorHAnsi" w:cstheme="minorHAnsi"/>
          <w:color w:val="000000" w:themeColor="text1"/>
          <w:sz w:val="24"/>
          <w:szCs w:val="24"/>
        </w:rPr>
        <w:fldChar w:fldCharType="end"/>
      </w:r>
      <w:r>
        <w:rPr>
          <w:rFonts w:asciiTheme="minorHAnsi" w:hAnsiTheme="minorHAnsi" w:cstheme="minorHAnsi"/>
          <w:color w:val="000000" w:themeColor="text1"/>
          <w:sz w:val="24"/>
          <w:szCs w:val="24"/>
        </w:rPr>
        <w:t xml:space="preserve">. In this case, the CSE developed would be evaluated in relation to the objectives and biocultural measures. </w:t>
      </w:r>
      <w:r w:rsidRPr="006375BF">
        <w:rPr>
          <w:rFonts w:asciiTheme="minorHAnsi" w:hAnsiTheme="minorHAnsi" w:cstheme="minorHAnsi"/>
          <w:color w:val="000000" w:themeColor="text1"/>
          <w:sz w:val="24"/>
          <w:szCs w:val="24"/>
        </w:rPr>
        <w:t xml:space="preserve">Using a collaborative online document (google docs) the group of experts refined the objectives and biocultural measures over a six-month period. </w:t>
      </w:r>
      <w:r>
        <w:rPr>
          <w:rFonts w:asciiTheme="minorHAnsi" w:hAnsiTheme="minorHAnsi" w:cstheme="minorHAnsi"/>
          <w:color w:val="000000" w:themeColor="text1"/>
          <w:sz w:val="24"/>
          <w:szCs w:val="24"/>
        </w:rPr>
        <w:t>The group</w:t>
      </w:r>
      <w:r w:rsidRPr="006375BF">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then used these objectives to </w:t>
      </w:r>
      <w:r w:rsidRPr="006375BF">
        <w:rPr>
          <w:rFonts w:asciiTheme="minorHAnsi" w:hAnsiTheme="minorHAnsi" w:cstheme="minorHAnsi"/>
          <w:color w:val="000000" w:themeColor="text1"/>
          <w:sz w:val="24"/>
          <w:szCs w:val="24"/>
        </w:rPr>
        <w:t xml:space="preserve">develop </w:t>
      </w:r>
      <w:r>
        <w:rPr>
          <w:rFonts w:asciiTheme="minorHAnsi" w:hAnsiTheme="minorHAnsi" w:cstheme="minorHAnsi"/>
          <w:color w:val="000000" w:themeColor="text1"/>
          <w:sz w:val="24"/>
          <w:szCs w:val="24"/>
        </w:rPr>
        <w:t>the</w:t>
      </w:r>
      <w:r w:rsidRPr="006375BF">
        <w:rPr>
          <w:rFonts w:asciiTheme="minorHAnsi" w:hAnsiTheme="minorHAnsi" w:cstheme="minorHAnsi"/>
          <w:color w:val="000000" w:themeColor="text1"/>
          <w:sz w:val="24"/>
          <w:szCs w:val="24"/>
        </w:rPr>
        <w:t xml:space="preserve"> </w:t>
      </w:r>
      <w:r>
        <w:rPr>
          <w:rFonts w:asciiTheme="minorHAnsi" w:hAnsiTheme="minorHAnsi" w:cstheme="minorHAnsi"/>
          <w:sz w:val="24"/>
          <w:szCs w:val="24"/>
        </w:rPr>
        <w:t xml:space="preserve">structured decision-making </w:t>
      </w:r>
      <w:r w:rsidRPr="00C006EA">
        <w:rPr>
          <w:rFonts w:asciiTheme="minorHAnsi" w:hAnsiTheme="minorHAnsi" w:cstheme="minorHAnsi"/>
          <w:i/>
          <w:iCs/>
          <w:color w:val="000000" w:themeColor="text1"/>
          <w:sz w:val="24"/>
          <w:szCs w:val="24"/>
        </w:rPr>
        <w:t xml:space="preserve">rapid prototyping template </w:t>
      </w:r>
      <w:r>
        <w:rPr>
          <w:rFonts w:asciiTheme="minorHAnsi" w:hAnsiTheme="minorHAnsi" w:cstheme="minorHAnsi"/>
          <w:color w:val="000000" w:themeColor="text1"/>
          <w:sz w:val="24"/>
          <w:szCs w:val="24"/>
        </w:rPr>
        <w:t>(</w:t>
      </w:r>
      <w:r w:rsidRPr="00790C36">
        <w:rPr>
          <w:rFonts w:asciiTheme="minorHAnsi" w:hAnsiTheme="minorHAnsi" w:cstheme="minorHAnsi"/>
          <w:color w:val="000000" w:themeColor="text1"/>
          <w:sz w:val="24"/>
          <w:szCs w:val="24"/>
        </w:rPr>
        <w:t>Supplementary Data Table 1</w:t>
      </w:r>
      <w:r>
        <w:rPr>
          <w:rFonts w:asciiTheme="minorHAnsi" w:hAnsiTheme="minorHAnsi" w:cstheme="minorHAnsi"/>
          <w:color w:val="000000" w:themeColor="text1"/>
          <w:sz w:val="24"/>
          <w:szCs w:val="24"/>
        </w:rPr>
        <w:t>)</w:t>
      </w:r>
      <w:r w:rsidRPr="006375BF">
        <w:rPr>
          <w:rFonts w:asciiTheme="minorHAnsi" w:hAnsiTheme="minorHAnsi" w:cstheme="minorHAnsi"/>
          <w:color w:val="000000" w:themeColor="text1"/>
          <w:sz w:val="24"/>
          <w:szCs w:val="24"/>
        </w:rPr>
        <w:t xml:space="preserve"> used in </w:t>
      </w:r>
      <w:r>
        <w:rPr>
          <w:rFonts w:asciiTheme="minorHAnsi" w:hAnsiTheme="minorHAnsi" w:cstheme="minorHAnsi"/>
          <w:color w:val="000000" w:themeColor="text1"/>
          <w:sz w:val="24"/>
          <w:szCs w:val="24"/>
        </w:rPr>
        <w:t xml:space="preserve">Bundjalung </w:t>
      </w:r>
      <w:r w:rsidRPr="006375BF">
        <w:rPr>
          <w:rFonts w:asciiTheme="minorHAnsi" w:hAnsiTheme="minorHAnsi" w:cstheme="minorHAnsi"/>
          <w:color w:val="000000" w:themeColor="text1"/>
          <w:sz w:val="24"/>
          <w:szCs w:val="24"/>
        </w:rPr>
        <w:t>community workshops</w:t>
      </w:r>
      <w:r>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{"citationID":"qYSkQLjT","properties":{"formattedCitation":"\\super 27,31,33,34\\nosupersub{}","plainCitation":"27,31,33,34","noteIndex":0},"citationItems":[{"id":21,"uris":["http://zotero.org/users/6363004/items/B4S3F2YR"],"itemData":{"id":21,"type":"article-journal","container-title":"Risk Analysis","DOI":"10.1111/j.1539-6924.2008.01182.x","ISSN":"02724332, 15396924","issue":"4","language":"en","page":"518-532","source":"DOI.org (Crossref)","title":"Using Structured Decision Making to Help Implement a Precautionary Approach to Endangered Species Management","volume":"29","author":[{"family":"Gregory","given":"Robin"},{"family":"Long","given":"Graham"}],"issued":{"date-parts":[["2009",4]]}}},{"id":200,"uris":["http://zotero.org/users/6363004/items/9L7BCQUC"],"itemData":{"id":200,"type":"book","abstract":"This book outlines the creative process of making environmental management decisions using the approach called Structured Decision Making. It is a short introductory guide to this popular form of decision making and is aimed at environmental managers and scientists.   This is a distinctly pragmatic label given to ways for helping individuals and groups think through tough multidimensional choices characterized by uncertain science, diverse stakeholders, and difficult tradeoffs. This is the everyday reality of environmental management, yet many important decisions currently are made on an ad hoc basis that lacks a solid value-based foundation, ignores key information, and results in selection of an inferior alternative. Making progress – in a way that is rigorous, inclusive, defensible and transparent – requires combining analytical methods drawn from the decision sciences and applied ecology with deliberative insights from cognitive psychology, facilitation and negotiation.   The authors review key methods and discuss case-study examples based in their experiences in communities, boardrooms, and stakeholder meetings. The goal of this book is to lay out a compelling guide that will change how you think about making environmental decisions. Visit www.wiley.com/go/gregory/sdm to access the figures and tables from the book.","ISBN":"978-1-4443-9853-3","language":"en","note":"Google-Books-ID: bT1_LFuK6LMC","number-of-pages":"315","publisher":"John Wiley &amp; Sons","source":"Google Books","title":"Structured Decision Making: A Practical Guide to Environmental Management Choices","title-short":"Structured Decision Making","author":[{"family":"Gregory","given":"Robin"},{"family":"Failing","given":"Lee"},{"family":"Harstone","given":"Michael"},{"family":"Long","given":"Graham"},{"family":"McDaniels","given":"Tim"},{"family":"Ohlson","given":"Dan"}],"issued":{"date-parts":[["2012",2,17]]}}},{"id":209,"uris":["http://zotero.org/users/6363004/items/TKD9ZVFS"],"itemData":{"id":209,"type":"article-journal","abstract":"Achieving global targets for restoring native vegetation cover requires restoration projects to identify and work toward common management objectives. This is made challenging by the different values held by concerned stakeholders, which are not often accounted for. Additionally, restoration is time-dependent and yet there is often little explicit acknowledgment of the time frames required to achieve outcomes. Here, we argue that explicitly incorporating value and time considerations into stated objectives would help to achieve restoration goals. We reviewed the peer-reviewed literature on restoration of terrestrial vegetation and found that while there is guidance on how to identify and account for stakeholder values and time considerations, there is little evidence these are being incorporated into decision-making processes. In this article, we explore how a combination of stakeholder surveys and workshops can be used within a structured decision-making framework to facilitate the integration of diverse stakeholder values and time frame considerations to set restoration objectives. We demonstrate this approach with a case of restoration decision-making at a regional scale (southeast Queensland, Australia) with a view to this experience supporting similar restoration projects elsewhere.","container-title":"Restoration Ecology","DOI":"https://doi.org/10.1111/rec.12591","ISSN":"1526-100X","issue":"6","language":"en","note":"_eprint: https://onlinelibrary.wiley.com/doi/pdf/10.1111/rec.12591","page":"858-865","source":"Wiley Online Library","title":"Using structured decision-making to set restoration objectives when multiple values and preferences exist","volume":"25","author":[{"family":"Guerrero","given":"Angela M."},{"family":"Shoo","given":"Luke"},{"family":"Iacona","given":"Gwenllian"},{"family":"Standish","given":"Rachel J."},{"family":"Catterall","given":"Carla P."},{"family":"Rumpff","given":"Libby"},{"family":"Bie","given":"Kelly","dropping-particle":"de"},{"family":"White","given":"Zoe"},{"family":"Matzek","given":"Virginia"},{"family":"Wilson","given":"Kerrie A."}],"issued":{"date-parts":[["2017"]]}}},{"id":559,"uris":["http://zotero.org/users/6363004/items/4NZKZWC2"],"itemData":{"id":559,"type":"book","abstract":"Making decisions about the management and conservation of nature is necessarily complex, with many competing pressures on natural systems, opportunities and benefits for different groups of people and a varying, uncertain social and ecological environment. An approach which is narrowly focused on either human development or environmental protection cannot deliver sustainable solutions. This volume provides frameworks for improving the integration of natural resource management with conservation and supporting stronger collaboration between researchers and practitioners in developed and developing countries. Novel approaches are required when ecological and social dynamics are highly interdependent. A structured, participatory, model-based approach to decision-making for biodiversity conservation has been proven to produce real-world change. There are surprisingly few successful case studies, however; some of the best are presented here, from fisheries, pest management and conservation. Researchers and practitioners need this interdisciplinary approach, focused on quantitative tools that have been tested and applied, and learning from success.","ISBN":"978-1-107-09236-5","language":"en","note":"Google-Books-ID: F9UlDwAAQBAJ","number-of-pages":"291","publisher":"Cambridge University Press","source":"Google Books","title":"Decision-Making in Conservation and Natural Resource Management: Models for Interdisciplinary Approaches","title-short":"Decision-Making in Conservation and Natural Resource Management","author":[{"family":"Bunnefeld","given":"Nils"},{"family":"Nicholson","given":"Emily"},{"family":"Milner-Gulland","given":"E. J."}],"issued":{"date-parts":[["2017",7,6]]}}}],"schema":"https://github.com/citation-style-language/schema/raw/master/csl-citation.json"} </w:instrText>
      </w:r>
      <w:r>
        <w:rPr>
          <w:rFonts w:asciiTheme="minorHAnsi" w:hAnsiTheme="minorHAnsi" w:cstheme="minorHAnsi"/>
          <w:color w:val="000000" w:themeColor="text1"/>
          <w:sz w:val="24"/>
          <w:szCs w:val="24"/>
        </w:rPr>
        <w:fldChar w:fldCharType="separate"/>
      </w:r>
      <w:r w:rsidRPr="00700CAD">
        <w:rPr>
          <w:rFonts w:hAnsiTheme="minorHAnsi"/>
          <w:color w:val="000000"/>
          <w:sz w:val="24"/>
          <w:vertAlign w:val="superscript"/>
          <w:lang w:val="en-GB"/>
        </w:rPr>
        <w:t>27,31,33,34</w:t>
      </w:r>
      <w:r>
        <w:rPr>
          <w:rFonts w:asciiTheme="minorHAnsi" w:hAnsiTheme="minorHAnsi" w:cstheme="minorHAnsi"/>
          <w:color w:val="000000" w:themeColor="text1"/>
          <w:sz w:val="24"/>
          <w:szCs w:val="24"/>
        </w:rPr>
        <w:fldChar w:fldCharType="end"/>
      </w:r>
      <w:r w:rsidRPr="006375BF">
        <w:rPr>
          <w:rFonts w:asciiTheme="minorHAnsi" w:hAnsiTheme="minorHAnsi" w:cstheme="minorHAnsi"/>
          <w:color w:val="000000" w:themeColor="text1"/>
          <w:sz w:val="24"/>
          <w:szCs w:val="24"/>
        </w:rPr>
        <w:t>.</w:t>
      </w:r>
    </w:p>
    <w:p w14:paraId="71B95582" w14:textId="77777777" w:rsidR="00A041A3" w:rsidRDefault="00A041A3" w:rsidP="00A041A3">
      <w:pPr>
        <w:spacing w:line="360" w:lineRule="auto"/>
        <w:rPr>
          <w:rFonts w:asciiTheme="minorHAnsi" w:hAnsiTheme="minorHAnsi" w:cstheme="minorHAnsi"/>
          <w:color w:val="000000" w:themeColor="text1"/>
          <w:sz w:val="24"/>
          <w:szCs w:val="24"/>
        </w:rPr>
      </w:pPr>
    </w:p>
    <w:p w14:paraId="6E124D4A" w14:textId="77777777" w:rsidR="00A041A3" w:rsidRPr="00BD2496" w:rsidRDefault="00A041A3" w:rsidP="00A041A3">
      <w:pPr>
        <w:spacing w:line="360" w:lineRule="auto"/>
        <w:rPr>
          <w:sz w:val="24"/>
          <w:szCs w:val="24"/>
        </w:rPr>
      </w:pPr>
      <w:r w:rsidRPr="00C2443E">
        <w:rPr>
          <w:rFonts w:asciiTheme="minorHAnsi" w:hAnsiTheme="minorHAnsi" w:cstheme="minorHAnsi"/>
          <w:color w:val="000000" w:themeColor="text1"/>
          <w:sz w:val="24"/>
          <w:szCs w:val="24"/>
        </w:rPr>
        <w:t>A group of Bundjalung knowledge holders</w:t>
      </w:r>
      <w:r>
        <w:rPr>
          <w:rFonts w:asciiTheme="minorHAnsi" w:hAnsiTheme="minorHAnsi" w:cstheme="minorHAnsi"/>
          <w:color w:val="000000" w:themeColor="text1"/>
          <w:sz w:val="24"/>
          <w:szCs w:val="24"/>
        </w:rPr>
        <w:t xml:space="preserve"> (N=20)</w:t>
      </w:r>
      <w:r w:rsidRPr="00C2443E">
        <w:rPr>
          <w:rFonts w:asciiTheme="minorHAnsi" w:hAnsiTheme="minorHAnsi" w:cstheme="minorHAnsi"/>
          <w:color w:val="000000" w:themeColor="text1"/>
          <w:sz w:val="24"/>
          <w:szCs w:val="24"/>
        </w:rPr>
        <w:t xml:space="preserve"> gathered on a culturally significant site which overlooked Bundjalung Country.  The aim of the gathering was the reaffirm Bundjalung aspirations to identify CSE</w:t>
      </w:r>
      <w:r>
        <w:rPr>
          <w:rFonts w:asciiTheme="minorHAnsi" w:hAnsiTheme="minorHAnsi" w:cstheme="minorHAnsi"/>
          <w:color w:val="000000" w:themeColor="text1"/>
          <w:sz w:val="24"/>
          <w:szCs w:val="24"/>
        </w:rPr>
        <w:t xml:space="preserve"> for collaborative management</w:t>
      </w:r>
      <w:r w:rsidRPr="00C2443E">
        <w:rPr>
          <w:rFonts w:asciiTheme="minorHAnsi" w:hAnsiTheme="minorHAnsi" w:cstheme="minorHAnsi"/>
          <w:color w:val="000000" w:themeColor="text1"/>
          <w:sz w:val="24"/>
          <w:szCs w:val="24"/>
        </w:rPr>
        <w:t xml:space="preserve">. </w:t>
      </w:r>
      <w:r w:rsidRPr="006375BF">
        <w:rPr>
          <w:rFonts w:asciiTheme="minorHAnsi" w:hAnsiTheme="minorHAnsi" w:cstheme="minorHAnsi"/>
          <w:color w:val="000000" w:themeColor="text1"/>
          <w:sz w:val="24"/>
          <w:szCs w:val="24"/>
        </w:rPr>
        <w:t>The objectives and biocultural measures were then evaluate</w:t>
      </w:r>
      <w:r>
        <w:rPr>
          <w:rFonts w:asciiTheme="minorHAnsi" w:hAnsiTheme="minorHAnsi" w:cstheme="minorHAnsi"/>
          <w:color w:val="000000" w:themeColor="text1"/>
          <w:sz w:val="24"/>
          <w:szCs w:val="24"/>
        </w:rPr>
        <w:t>d</w:t>
      </w:r>
      <w:r w:rsidRPr="006375BF">
        <w:rPr>
          <w:rFonts w:asciiTheme="minorHAnsi" w:hAnsiTheme="minorHAnsi" w:cstheme="minorHAnsi"/>
          <w:color w:val="000000" w:themeColor="text1"/>
          <w:sz w:val="24"/>
          <w:szCs w:val="24"/>
        </w:rPr>
        <w:t xml:space="preserve"> with </w:t>
      </w:r>
      <w:r>
        <w:rPr>
          <w:rFonts w:asciiTheme="minorHAnsi" w:hAnsiTheme="minorHAnsi" w:cstheme="minorHAnsi"/>
          <w:color w:val="000000" w:themeColor="text1"/>
          <w:sz w:val="24"/>
          <w:szCs w:val="24"/>
        </w:rPr>
        <w:t>Bundjalung knowledge holders</w:t>
      </w:r>
      <w:r w:rsidRPr="006375BF">
        <w:rPr>
          <w:rFonts w:asciiTheme="minorHAnsi" w:hAnsiTheme="minorHAnsi" w:cstheme="minorHAnsi"/>
          <w:color w:val="000000" w:themeColor="text1"/>
          <w:sz w:val="24"/>
          <w:szCs w:val="24"/>
        </w:rPr>
        <w:t xml:space="preserve"> to test the relevance for a place-based approach </w:t>
      </w:r>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{"citationID":"54nIi5S5","properties":{"formattedCitation":"\\super 31\\nosupersub{}","plainCitation":"31","noteIndex":0},"citationItems":[{"id":209,"uris":["http://zotero.org/users/6363004/items/TKD9ZVFS"],"itemData":{"id":209,"type":"article-journal","abstract":"Achieving global targets for restoring native vegetation cover requires restoration projects to identify and work toward common management objectives. This is made challenging by the different values held by concerned stakeholders, which are not often accounted for. Additionally, restoration is time-dependent and yet there is often little explicit acknowledgment of the time frames required to achieve outcomes. Here, we argue that explicitly incorporating value and time considerations into stated objectives would help to achieve restoration goals. We reviewed the peer-reviewed literature on restoration of terrestrial vegetation and found that while there is guidance on how to identify and account for stakeholder values and time considerations, there is little evidence these are being incorporated into decision-making processes. In this article, we explore how a combination of stakeholder surveys and workshops can be used within a structured decision-making framework to facilitate the integration of diverse stakeholder values and time frame considerations to set restoration objectives. We demonstrate this approach with a case of restoration decision-making at a regional scale (southeast Queensland, Australia) with a view to this experience supporting similar restoration projects elsewhere.","container-title":"Restoration Ecology","DOI":"https://doi.org/10.1111/rec.12591","ISSN":"1526-100X","issue":"6","language":"en","note":"_eprint: https://onlinelibrary.wiley.com/doi/pdf/10.1111/rec.12591","page":"858-865","source":"Wiley Online Library","title":"Using structured decision-making to set restoration objectives when multiple values and preferences exist","volume":"25","author":[{"family":"Guerrero","given":"Angela M."},{"family":"Shoo","given":"Luke"},{"family":"Iacona","given":"Gwenllian"},{"family":"Standish","given":"Rachel J."},{"family":"Catterall","given":"Carla P."},{"family":"Rumpff","given":"Libby"},{"family":"Bie","given":"Kelly","dropping-particle":"de"},{"family":"White","given":"Zoe"},{"family":"Matzek","given":"Virginia"},{"family":"Wilson","given":"Kerrie A."}],"issued":{"date-parts":[["2017"]]}}}],"schema":"https://github.com/citation-style-language/schema/raw/master/csl-citation.json"} </w:instrText>
      </w:r>
      <w:r>
        <w:rPr>
          <w:rFonts w:asciiTheme="minorHAnsi" w:hAnsiTheme="minorHAnsi" w:cstheme="minorHAnsi"/>
          <w:color w:val="000000" w:themeColor="text1"/>
          <w:sz w:val="24"/>
          <w:szCs w:val="24"/>
        </w:rPr>
        <w:fldChar w:fldCharType="separate"/>
      </w:r>
      <w:r w:rsidRPr="00700CAD">
        <w:rPr>
          <w:rFonts w:hAnsiTheme="minorHAnsi"/>
          <w:color w:val="000000"/>
          <w:sz w:val="24"/>
          <w:vertAlign w:val="superscript"/>
          <w:lang w:val="en-GB"/>
        </w:rPr>
        <w:t>31</w:t>
      </w:r>
      <w:r>
        <w:rPr>
          <w:rFonts w:asciiTheme="minorHAnsi" w:hAnsiTheme="minorHAnsi" w:cstheme="minorHAnsi"/>
          <w:color w:val="000000" w:themeColor="text1"/>
          <w:sz w:val="24"/>
          <w:szCs w:val="24"/>
        </w:rPr>
        <w:fldChar w:fldCharType="end"/>
      </w:r>
      <w:r>
        <w:rPr>
          <w:rFonts w:asciiTheme="minorHAnsi" w:hAnsiTheme="minorHAnsi" w:cstheme="minorHAnsi"/>
          <w:color w:val="000000" w:themeColor="text1"/>
          <w:sz w:val="24"/>
          <w:szCs w:val="24"/>
        </w:rPr>
        <w:t xml:space="preserve">. </w:t>
      </w:r>
      <w:r w:rsidRPr="00C2443E">
        <w:rPr>
          <w:rFonts w:asciiTheme="minorHAnsi" w:hAnsiTheme="minorHAnsi" w:cstheme="minorHAnsi"/>
          <w:color w:val="000000" w:themeColor="text1"/>
          <w:sz w:val="24"/>
          <w:szCs w:val="24"/>
        </w:rPr>
        <w:t>Culturally</w:t>
      </w:r>
      <w:r>
        <w:rPr>
          <w:rFonts w:asciiTheme="minorHAnsi" w:hAnsiTheme="minorHAnsi" w:cstheme="minorHAnsi"/>
          <w:color w:val="000000" w:themeColor="text1"/>
          <w:sz w:val="24"/>
          <w:szCs w:val="24"/>
        </w:rPr>
        <w:t>,</w:t>
      </w:r>
      <w:r w:rsidRPr="00C2443E">
        <w:rPr>
          <w:rFonts w:asciiTheme="minorHAnsi" w:hAnsiTheme="minorHAnsi" w:cstheme="minorHAnsi"/>
          <w:color w:val="000000" w:themeColor="text1"/>
          <w:sz w:val="24"/>
          <w:szCs w:val="24"/>
        </w:rPr>
        <w:t xml:space="preserve"> security was key to the workshops, </w:t>
      </w:r>
      <w:r>
        <w:rPr>
          <w:rFonts w:asciiTheme="minorHAnsi" w:hAnsiTheme="minorHAnsi" w:cstheme="minorHAnsi"/>
          <w:color w:val="000000" w:themeColor="text1"/>
          <w:sz w:val="24"/>
          <w:szCs w:val="24"/>
        </w:rPr>
        <w:t xml:space="preserve">and </w:t>
      </w:r>
      <w:r w:rsidRPr="00C2443E">
        <w:rPr>
          <w:rFonts w:asciiTheme="minorHAnsi" w:hAnsiTheme="minorHAnsi" w:cstheme="minorHAnsi"/>
          <w:color w:val="000000" w:themeColor="text1"/>
          <w:sz w:val="24"/>
          <w:szCs w:val="24"/>
        </w:rPr>
        <w:t>this was supported by Aboriginal facilitators (male and female), who led the discussions</w:t>
      </w:r>
      <w:r>
        <w:rPr>
          <w:rFonts w:asciiTheme="minorHAnsi" w:hAnsiTheme="minorHAnsi" w:cstheme="minorHAnsi"/>
          <w:color w:val="000000" w:themeColor="text1"/>
          <w:sz w:val="24"/>
          <w:szCs w:val="24"/>
        </w:rPr>
        <w:t xml:space="preserve">. Facilitators enabled </w:t>
      </w:r>
      <w:r w:rsidRPr="00C2443E">
        <w:rPr>
          <w:rFonts w:asciiTheme="minorHAnsi" w:hAnsiTheme="minorHAnsi" w:cstheme="minorHAnsi"/>
          <w:color w:val="000000" w:themeColor="text1"/>
          <w:sz w:val="24"/>
          <w:szCs w:val="24"/>
        </w:rPr>
        <w:t>everyone to be heard</w:t>
      </w:r>
      <w:r>
        <w:rPr>
          <w:rFonts w:asciiTheme="minorHAnsi" w:hAnsiTheme="minorHAnsi" w:cstheme="minorHAnsi"/>
          <w:color w:val="000000" w:themeColor="text1"/>
          <w:sz w:val="24"/>
          <w:szCs w:val="24"/>
        </w:rPr>
        <w:t xml:space="preserve"> in both formal and informal free-flowing discussions and employed</w:t>
      </w:r>
      <w:r w:rsidRPr="00C2443E">
        <w:rPr>
          <w:rFonts w:asciiTheme="minorHAnsi" w:hAnsiTheme="minorHAnsi" w:cstheme="minorHAnsi"/>
          <w:color w:val="000000" w:themeColor="text1"/>
          <w:sz w:val="24"/>
          <w:szCs w:val="24"/>
        </w:rPr>
        <w:t xml:space="preserve"> active listening</w:t>
      </w:r>
      <w:r>
        <w:rPr>
          <w:rFonts w:asciiTheme="minorHAnsi" w:hAnsiTheme="minorHAnsi" w:cstheme="minorHAnsi"/>
          <w:color w:val="000000" w:themeColor="text1"/>
          <w:sz w:val="24"/>
          <w:szCs w:val="24"/>
        </w:rPr>
        <w:t xml:space="preserve">. </w:t>
      </w:r>
      <w:r w:rsidRPr="00C2443E">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They</w:t>
      </w:r>
      <w:r w:rsidRPr="00C2443E">
        <w:rPr>
          <w:rFonts w:asciiTheme="minorHAnsi" w:hAnsiTheme="minorHAnsi" w:cstheme="minorHAnsi"/>
          <w:color w:val="000000" w:themeColor="text1"/>
          <w:sz w:val="24"/>
          <w:szCs w:val="24"/>
        </w:rPr>
        <w:t xml:space="preserve"> were able to get endorsement from the group on the objectives and </w:t>
      </w:r>
      <w:r>
        <w:rPr>
          <w:rFonts w:asciiTheme="minorHAnsi" w:hAnsiTheme="minorHAnsi" w:cstheme="minorHAnsi"/>
          <w:color w:val="000000" w:themeColor="text1"/>
          <w:sz w:val="24"/>
          <w:szCs w:val="24"/>
        </w:rPr>
        <w:t xml:space="preserve">performance </w:t>
      </w:r>
      <w:r w:rsidRPr="00C2443E">
        <w:rPr>
          <w:rFonts w:asciiTheme="minorHAnsi" w:hAnsiTheme="minorHAnsi" w:cstheme="minorHAnsi"/>
          <w:color w:val="000000" w:themeColor="text1"/>
          <w:sz w:val="24"/>
          <w:szCs w:val="24"/>
        </w:rPr>
        <w:t>measures</w:t>
      </w:r>
      <w:r>
        <w:rPr>
          <w:rFonts w:asciiTheme="minorHAnsi" w:hAnsiTheme="minorHAnsi" w:cstheme="minorHAnsi"/>
          <w:color w:val="000000" w:themeColor="text1"/>
          <w:sz w:val="24"/>
          <w:szCs w:val="24"/>
        </w:rPr>
        <w:t>,</w:t>
      </w:r>
      <w:r w:rsidRPr="00C2443E">
        <w:rPr>
          <w:rFonts w:asciiTheme="minorHAnsi" w:hAnsiTheme="minorHAnsi" w:cstheme="minorHAnsi"/>
          <w:color w:val="000000" w:themeColor="text1"/>
          <w:sz w:val="24"/>
          <w:szCs w:val="24"/>
        </w:rPr>
        <w:t xml:space="preserve"> with some nuances to the wording. The workshop concluded with a </w:t>
      </w:r>
      <w:r w:rsidRPr="00C2443E">
        <w:rPr>
          <w:rFonts w:asciiTheme="minorHAnsi" w:hAnsiTheme="minorHAnsi" w:cstheme="minorHAnsi"/>
          <w:color w:val="000000" w:themeColor="text1"/>
          <w:sz w:val="24"/>
          <w:szCs w:val="24"/>
        </w:rPr>
        <w:lastRenderedPageBreak/>
        <w:t xml:space="preserve">cultural practice, traversing the cultural site, and sharing knowledge and a cultural burning, this was vital to as participants actively added to each other’s comments and common themes and aspirations became clear.  </w:t>
      </w:r>
      <w:r>
        <w:rPr>
          <w:rFonts w:asciiTheme="minorHAnsi" w:hAnsiTheme="minorHAnsi" w:cstheme="minorHAnsi"/>
          <w:color w:val="000000" w:themeColor="text1"/>
          <w:sz w:val="24"/>
          <w:szCs w:val="24"/>
        </w:rPr>
        <w:br/>
      </w:r>
    </w:p>
    <w:p w14:paraId="4F2C13D5" w14:textId="77777777" w:rsidR="00A041A3" w:rsidRDefault="00A041A3" w:rsidP="00A041A3">
      <w:pPr>
        <w:pStyle w:val="BodyText"/>
        <w:spacing w:before="146" w:line="360" w:lineRule="auto"/>
        <w:ind w:right="777"/>
        <w:rPr>
          <w:rFonts w:asciiTheme="minorHAnsi" w:hAnsiTheme="minorHAnsi" w:cstheme="minorHAnsi"/>
          <w:b/>
          <w:i/>
          <w:iCs/>
          <w:color w:val="000000" w:themeColor="text1"/>
        </w:rPr>
      </w:pPr>
      <w:r w:rsidRPr="00884BD9">
        <w:rPr>
          <w:rFonts w:asciiTheme="minorHAnsi" w:hAnsiTheme="minorHAnsi" w:cstheme="minorHAnsi"/>
          <w:b/>
          <w:i/>
          <w:iCs/>
          <w:color w:val="000000" w:themeColor="text1"/>
        </w:rPr>
        <w:t>Step three</w:t>
      </w:r>
      <w:r>
        <w:rPr>
          <w:rFonts w:asciiTheme="minorHAnsi" w:hAnsiTheme="minorHAnsi" w:cstheme="minorHAnsi"/>
          <w:b/>
          <w:i/>
          <w:iCs/>
          <w:color w:val="000000" w:themeColor="text1"/>
        </w:rPr>
        <w:t xml:space="preserve">(a): </w:t>
      </w:r>
      <w:r w:rsidRPr="009A7A9C">
        <w:rPr>
          <w:rFonts w:asciiTheme="minorHAnsi" w:hAnsiTheme="minorHAnsi" w:cstheme="minorHAnsi"/>
          <w:bCs/>
          <w:i/>
          <w:iCs/>
          <w:color w:val="000000" w:themeColor="text1"/>
        </w:rPr>
        <w:t xml:space="preserve">Identifying </w:t>
      </w:r>
      <w:r>
        <w:rPr>
          <w:rFonts w:asciiTheme="minorHAnsi" w:hAnsiTheme="minorHAnsi" w:cstheme="minorHAnsi"/>
          <w:bCs/>
          <w:i/>
          <w:iCs/>
          <w:color w:val="000000" w:themeColor="text1"/>
        </w:rPr>
        <w:t xml:space="preserve">alternatives for </w:t>
      </w:r>
      <w:r w:rsidRPr="009A7A9C">
        <w:rPr>
          <w:rFonts w:asciiTheme="minorHAnsi" w:hAnsiTheme="minorHAnsi" w:cstheme="minorHAnsi"/>
          <w:bCs/>
          <w:i/>
          <w:iCs/>
          <w:color w:val="000000" w:themeColor="text1"/>
        </w:rPr>
        <w:t xml:space="preserve">Bundjalung </w:t>
      </w:r>
      <w:r>
        <w:rPr>
          <w:rFonts w:asciiTheme="minorHAnsi" w:hAnsiTheme="minorHAnsi" w:cstheme="minorHAnsi"/>
          <w:bCs/>
          <w:i/>
          <w:iCs/>
          <w:color w:val="000000" w:themeColor="text1"/>
        </w:rPr>
        <w:t xml:space="preserve">designation </w:t>
      </w:r>
      <w:r w:rsidRPr="009A7A9C">
        <w:rPr>
          <w:rFonts w:asciiTheme="minorHAnsi" w:hAnsiTheme="minorHAnsi" w:cstheme="minorHAnsi"/>
          <w:bCs/>
          <w:i/>
          <w:iCs/>
          <w:color w:val="000000" w:themeColor="text1"/>
        </w:rPr>
        <w:t>CSE</w:t>
      </w:r>
      <w:r>
        <w:rPr>
          <w:rFonts w:asciiTheme="minorHAnsi" w:hAnsiTheme="minorHAnsi" w:cstheme="minorHAnsi"/>
          <w:bCs/>
          <w:i/>
          <w:iCs/>
          <w:color w:val="000000" w:themeColor="text1"/>
        </w:rPr>
        <w:t>.</w:t>
      </w:r>
    </w:p>
    <w:p w14:paraId="6901A745" w14:textId="77777777" w:rsidR="00A041A3" w:rsidRDefault="00A041A3" w:rsidP="00A041A3">
      <w:pPr>
        <w:spacing w:line="360" w:lineRule="auto"/>
        <w:rPr>
          <w:rFonts w:asciiTheme="minorHAnsi" w:hAnsiTheme="minorHAnsi" w:cstheme="minorHAnsi"/>
          <w:sz w:val="24"/>
          <w:szCs w:val="24"/>
        </w:rPr>
      </w:pPr>
      <w:r>
        <w:rPr>
          <w:rFonts w:asciiTheme="minorHAnsi" w:hAnsiTheme="minorHAnsi" w:cstheme="minorHAnsi"/>
          <w:sz w:val="24"/>
          <w:szCs w:val="24"/>
        </w:rPr>
        <w:t>The options generation step in structured decision-making was used to list all the species under consideration. In this context, a</w:t>
      </w:r>
      <w:r w:rsidRPr="00115B0A">
        <w:rPr>
          <w:rFonts w:asciiTheme="minorHAnsi" w:hAnsiTheme="minorHAnsi" w:cstheme="minorHAnsi"/>
          <w:sz w:val="24"/>
          <w:szCs w:val="24"/>
        </w:rPr>
        <w:t xml:space="preserve"> subset of</w:t>
      </w:r>
      <w:r>
        <w:rPr>
          <w:rFonts w:asciiTheme="minorHAnsi" w:hAnsiTheme="minorHAnsi" w:cstheme="minorHAnsi"/>
          <w:sz w:val="24"/>
          <w:szCs w:val="24"/>
        </w:rPr>
        <w:t xml:space="preserve"> Bundjalung</w:t>
      </w:r>
      <w:r w:rsidRPr="00115B0A">
        <w:rPr>
          <w:rFonts w:asciiTheme="minorHAnsi" w:hAnsiTheme="minorHAnsi" w:cstheme="minorHAnsi"/>
          <w:sz w:val="24"/>
          <w:szCs w:val="24"/>
        </w:rPr>
        <w:t xml:space="preserve"> knowledge holders</w:t>
      </w:r>
      <w:r>
        <w:rPr>
          <w:rFonts w:asciiTheme="minorHAnsi" w:hAnsiTheme="minorHAnsi" w:cstheme="minorHAnsi"/>
          <w:sz w:val="24"/>
          <w:szCs w:val="24"/>
        </w:rPr>
        <w:t xml:space="preserve"> (N=10)</w:t>
      </w:r>
      <w:r w:rsidRPr="00115B0A">
        <w:rPr>
          <w:rFonts w:asciiTheme="minorHAnsi" w:hAnsiTheme="minorHAnsi" w:cstheme="minorHAnsi"/>
          <w:sz w:val="24"/>
          <w:szCs w:val="24"/>
        </w:rPr>
        <w:t xml:space="preserve"> gathered on Minyumai IPA</w:t>
      </w:r>
      <w:r>
        <w:rPr>
          <w:rFonts w:asciiTheme="minorHAnsi" w:hAnsiTheme="minorHAnsi" w:cstheme="minorHAnsi"/>
          <w:sz w:val="24"/>
          <w:szCs w:val="24"/>
        </w:rPr>
        <w:t xml:space="preserve">. </w:t>
      </w:r>
      <w:r w:rsidRPr="00115B0A">
        <w:rPr>
          <w:rFonts w:asciiTheme="minorHAnsi" w:hAnsiTheme="minorHAnsi" w:cstheme="minorHAnsi"/>
          <w:sz w:val="24"/>
          <w:szCs w:val="24"/>
        </w:rPr>
        <w:t xml:space="preserve"> </w:t>
      </w:r>
      <w:r>
        <w:rPr>
          <w:rFonts w:asciiTheme="minorHAnsi" w:hAnsiTheme="minorHAnsi" w:cstheme="minorHAnsi"/>
          <w:sz w:val="24"/>
          <w:szCs w:val="24"/>
        </w:rPr>
        <w:t>T</w:t>
      </w:r>
      <w:r w:rsidRPr="00115B0A">
        <w:rPr>
          <w:rFonts w:asciiTheme="minorHAnsi" w:hAnsiTheme="minorHAnsi" w:cstheme="minorHAnsi"/>
          <w:sz w:val="24"/>
          <w:szCs w:val="24"/>
        </w:rPr>
        <w:t xml:space="preserve">he workshop commenced with a cultural practice and Welcome to Country, the group </w:t>
      </w:r>
      <w:r>
        <w:rPr>
          <w:rFonts w:asciiTheme="minorHAnsi" w:hAnsiTheme="minorHAnsi" w:cstheme="minorHAnsi"/>
          <w:sz w:val="24"/>
          <w:szCs w:val="24"/>
        </w:rPr>
        <w:t>was</w:t>
      </w:r>
      <w:r w:rsidRPr="00115B0A">
        <w:rPr>
          <w:rFonts w:asciiTheme="minorHAnsi" w:hAnsiTheme="minorHAnsi" w:cstheme="minorHAnsi"/>
          <w:sz w:val="24"/>
          <w:szCs w:val="24"/>
        </w:rPr>
        <w:t xml:space="preserve"> able to spend some time celebrating the successes to the IPA and participating in a knowledge exchange. Using the rapid prototyping template</w:t>
      </w:r>
      <w:r>
        <w:rPr>
          <w:rFonts w:asciiTheme="minorHAnsi" w:hAnsiTheme="minorHAnsi" w:cstheme="minorHAnsi"/>
          <w:sz w:val="24"/>
          <w:szCs w:val="24"/>
        </w:rPr>
        <w:t xml:space="preserve"> (</w:t>
      </w:r>
      <w:r w:rsidRPr="00790C36">
        <w:rPr>
          <w:rFonts w:asciiTheme="minorHAnsi" w:hAnsiTheme="minorHAnsi" w:cstheme="minorHAnsi"/>
          <w:color w:val="000000" w:themeColor="text1"/>
          <w:sz w:val="24"/>
          <w:szCs w:val="24"/>
        </w:rPr>
        <w:t>Supplementary Data Table 1</w:t>
      </w:r>
      <w:r>
        <w:rPr>
          <w:rFonts w:asciiTheme="minorHAnsi" w:hAnsiTheme="minorHAnsi" w:cstheme="minorHAnsi"/>
          <w:sz w:val="24"/>
          <w:szCs w:val="24"/>
        </w:rPr>
        <w:t>)</w:t>
      </w:r>
      <w:r w:rsidRPr="00115B0A">
        <w:rPr>
          <w:rFonts w:asciiTheme="minorHAnsi" w:hAnsiTheme="minorHAnsi" w:cstheme="minorHAnsi"/>
          <w:sz w:val="24"/>
          <w:szCs w:val="24"/>
        </w:rPr>
        <w:t xml:space="preserve"> the group brainstormed </w:t>
      </w:r>
      <w:r>
        <w:rPr>
          <w:rFonts w:asciiTheme="minorHAnsi" w:hAnsiTheme="minorHAnsi" w:cstheme="minorHAnsi"/>
          <w:sz w:val="24"/>
          <w:szCs w:val="24"/>
        </w:rPr>
        <w:t xml:space="preserve">and identified </w:t>
      </w:r>
      <w:r w:rsidRPr="00115B0A">
        <w:rPr>
          <w:rFonts w:asciiTheme="minorHAnsi" w:hAnsiTheme="minorHAnsi" w:cstheme="minorHAnsi"/>
          <w:sz w:val="24"/>
          <w:szCs w:val="24"/>
        </w:rPr>
        <w:t>CSE against objectives</w:t>
      </w:r>
      <w:r>
        <w:rPr>
          <w:rFonts w:asciiTheme="minorHAnsi" w:hAnsiTheme="minorHAnsi" w:cstheme="minorHAnsi"/>
          <w:sz w:val="24"/>
          <w:szCs w:val="24"/>
        </w:rPr>
        <w:t xml:space="preserve"> (Table 1)</w:t>
      </w:r>
      <w:r w:rsidRPr="00115B0A">
        <w:rPr>
          <w:rFonts w:asciiTheme="minorHAnsi" w:hAnsiTheme="minorHAnsi" w:cstheme="minorHAnsi"/>
          <w:sz w:val="24"/>
          <w:szCs w:val="24"/>
        </w:rPr>
        <w:t xml:space="preserve"> and measures </w:t>
      </w:r>
      <w:r w:rsidRPr="00115B0A">
        <w:rPr>
          <w:rFonts w:asciiTheme="minorHAnsi" w:hAnsiTheme="minorHAnsi" w:cstheme="minorHAnsi"/>
          <w:sz w:val="24"/>
          <w:szCs w:val="24"/>
        </w:rPr>
        <w:fldChar w:fldCharType="begin"/>
      </w:r>
      <w:r>
        <w:rPr>
          <w:rFonts w:asciiTheme="minorHAnsi" w:hAnsiTheme="minorHAnsi" w:cstheme="minorHAnsi"/>
          <w:sz w:val="24"/>
          <w:szCs w:val="24"/>
        </w:rPr>
        <w:instrText xml:space="preserve"> ADDIN ZOTERO_ITEM CSL_CITATION {"citationID":"6b1cTktr","properties":{"formattedCitation":"\\super 28\\nosupersub{}","plainCitation":"28","noteIndex":0},"citationItems":[{"id":586,"uris":["http://zotero.org/users/6363004/items/MLLQQSZW"],"itemData":{"id":586,"type":"article-journal","container-title":"Cambridge: Cambridge University Press.","DOI":"10.1017/9781316135938.003","page":"(Conservation Biology, pp. 46-64)","title":"Rapid Prototyping for Decision Structuring: An Efficient Approach to Conservation Decision Analysis. In N. Bunnefeld, E. Nicholson, &amp; E. Milner-Gulland (Eds.), Decision-Making in Conservation and Natural Resource Management: Models for Interdisciplinary Approaches.","author":[{"family":"Garrard","given":"G"},{"family":"Rumpff","given":"L."},{"family":"Runge","given":"M"},{"family":"Converse","given":"S"}],"issued":{"date-parts":[["2017"]]}}}],"schema":"https://github.com/citation-style-language/schema/raw/master/csl-citation.json"} </w:instrText>
      </w:r>
      <w:r w:rsidRPr="00115B0A">
        <w:rPr>
          <w:rFonts w:asciiTheme="minorHAnsi" w:hAnsiTheme="minorHAnsi" w:cstheme="minorHAnsi"/>
          <w:sz w:val="24"/>
          <w:szCs w:val="24"/>
        </w:rPr>
        <w:fldChar w:fldCharType="separate"/>
      </w:r>
      <w:r w:rsidRPr="00700CAD">
        <w:rPr>
          <w:rFonts w:hAnsiTheme="minorHAnsi"/>
          <w:sz w:val="24"/>
          <w:vertAlign w:val="superscript"/>
          <w:lang w:val="en-GB"/>
        </w:rPr>
        <w:t>28</w:t>
      </w:r>
      <w:r w:rsidRPr="00115B0A">
        <w:rPr>
          <w:rFonts w:asciiTheme="minorHAnsi" w:hAnsiTheme="minorHAnsi" w:cstheme="minorHAnsi"/>
          <w:sz w:val="24"/>
          <w:szCs w:val="24"/>
        </w:rPr>
        <w:fldChar w:fldCharType="end"/>
      </w:r>
      <w:r w:rsidRPr="00115B0A">
        <w:rPr>
          <w:rFonts w:asciiTheme="minorHAnsi" w:hAnsiTheme="minorHAnsi" w:cstheme="minorHAnsi"/>
          <w:sz w:val="24"/>
          <w:szCs w:val="24"/>
        </w:rPr>
        <w:t xml:space="preserve">. </w:t>
      </w:r>
      <w:r>
        <w:rPr>
          <w:rFonts w:asciiTheme="minorHAnsi" w:hAnsiTheme="minorHAnsi" w:cstheme="minorHAnsi"/>
          <w:sz w:val="24"/>
          <w:szCs w:val="24"/>
        </w:rPr>
        <w:t>Participants shared their cultural connections and practices associated with the identified entities; however, this information was intentionally not recorded to ensure culturally sensitive information was not indirectly or unintentionally captured and control of cultural IP was lost.</w:t>
      </w:r>
    </w:p>
    <w:p w14:paraId="7F7AFA8C" w14:textId="77777777" w:rsidR="00A041A3" w:rsidRDefault="00A041A3" w:rsidP="00A041A3">
      <w:pPr>
        <w:pStyle w:val="NormalWeb"/>
        <w:spacing w:after="0" w:afterAutospacing="0" w:line="360" w:lineRule="auto"/>
        <w:rPr>
          <w:rFonts w:asciiTheme="minorHAnsi" w:hAnsiTheme="minorHAnsi" w:cstheme="minorBidi"/>
          <w:lang w:eastAsia="en-GB"/>
        </w:rPr>
      </w:pPr>
      <w:r w:rsidRPr="00DC6FB1">
        <w:rPr>
          <w:rFonts w:asciiTheme="minorHAnsi" w:hAnsiTheme="minorHAnsi" w:cstheme="minorBidi"/>
          <w:b/>
          <w:bCs/>
          <w:lang w:eastAsia="en-GB"/>
        </w:rPr>
        <w:t>Table 1:</w:t>
      </w:r>
      <w:r>
        <w:rPr>
          <w:rFonts w:asciiTheme="minorHAnsi" w:hAnsiTheme="minorHAnsi" w:cstheme="minorBidi"/>
          <w:lang w:eastAsia="en-GB"/>
        </w:rPr>
        <w:t xml:space="preserve"> Indigenous-led objectives for the identification and collaborative management of CSE under the domains of CSE identification</w:t>
      </w:r>
      <w:r>
        <w:rPr>
          <w:rFonts w:asciiTheme="minorHAnsi" w:hAnsiTheme="minorHAnsi" w:cstheme="minorBidi"/>
          <w:lang w:eastAsia="en-GB"/>
        </w:rPr>
        <w:fldChar w:fldCharType="begin"/>
      </w:r>
      <w:r>
        <w:rPr>
          <w:rFonts w:asciiTheme="minorHAnsi" w:hAnsiTheme="minorHAnsi" w:cstheme="minorBidi"/>
          <w:lang w:eastAsia="en-GB"/>
        </w:rPr>
        <w:instrText xml:space="preserve"> ADDIN ZOTERO_ITEM CSL_CITATION {"citationID":"o5UpjV8R","properties":{"formattedCitation":"\\super 5\\nosupersub{}","plainCitation":"5","noteIndex":0},"citationItems":[{"id":156,"uris":["http://zotero.org/users/6363004/items/SD43GMN8"],"itemData":{"id":156,"type":"article-journal","abstract":"Increasingly scientists and policy makers are acknowledging the importance of Indigenous participation in effective biodiversity conservation. In Australia, the recognised Indigenous estate is vast, accounting for up to 57% of the continent and comprising some of the highest priority conservation lands, including 46% of the formal National Reserve System. The Environment Protection and Biodiversity Conservation Act 1999 (the Act) is Commonwealth legislation designed to protect and manage nationally and internationally important species and ecological communities, which entails specific objectives to recognise Indigenous people. However, to date the involvement of Indigenous people in implementation of the Act has been inconsistent and inadequate, particularly in the protection of the Indigenous estate, understanding and supporting Indigenous people’s aspirations for Country and culturally significant species, and respecting the traditional management of species and landscapes. In this article, we will explore the key barriers and opportunities for improving Indigenous participation in biodiversity conservation under the Act. We structure our exploration using the three connected themes: (1) meaningful Indigenous engagement and participation, (2) recognition of the Indigenous Estate and (3) strengthening Indigenous-led governance. We find that there is a pressing need and an immediate opportunity to reform and strengthen the Act to protect Indigenous Knowledge, to recognise and report on the role of Indigenous Estate, and to realise the aspirations of Indigenous peoples for improved land and sea management that strengthens people, culture and Country.","container-title":"Ecological Management &amp; Restoration","DOI":"10.1111/emr.12523","ISSN":"1442-8903","issue":"S1","language":"en","note":"_eprint: https://onlinelibrary.wiley.com/doi/pdf/10.1111/emr.12523","page":"33-42","source":"Wiley Online Library","title":"Getting our Act together to improve Indigenous leadership and recognition in biodiversity management","volume":"23","author":[{"family":"Goolmeer","given":"Teagan"},{"family":"Skroblin","given":"Anja"},{"family":"Wintle","given":"Brendan A."}],"issued":{"date-parts":[["2022"]]}}}],"schema":"https://github.com/citation-style-language/schema/raw/master/csl-citation.json"} </w:instrText>
      </w:r>
      <w:r>
        <w:rPr>
          <w:rFonts w:asciiTheme="minorHAnsi" w:hAnsiTheme="minorHAnsi" w:cstheme="minorBidi"/>
          <w:lang w:eastAsia="en-GB"/>
        </w:rPr>
        <w:fldChar w:fldCharType="separate"/>
      </w:r>
      <w:r w:rsidRPr="002B624D">
        <w:rPr>
          <w:rFonts w:ascii="Calibri" w:hAnsiTheme="minorHAnsi" w:cs="Calibri"/>
          <w:vertAlign w:val="superscript"/>
          <w:lang w:val="en-GB"/>
        </w:rPr>
        <w:t>5</w:t>
      </w:r>
      <w:r>
        <w:rPr>
          <w:rFonts w:asciiTheme="minorHAnsi" w:hAnsiTheme="minorHAnsi" w:cstheme="minorBidi"/>
          <w:lang w:eastAsia="en-GB"/>
        </w:rPr>
        <w:fldChar w:fldCharType="end"/>
      </w:r>
      <w:r>
        <w:rPr>
          <w:rFonts w:asciiTheme="minorHAnsi" w:hAnsiTheme="minorHAnsi" w:cstheme="minorBidi"/>
          <w:lang w:eastAsia="en-GB"/>
        </w:rPr>
        <w:t>.</w:t>
      </w:r>
    </w:p>
    <w:tbl>
      <w:tblPr>
        <w:tblStyle w:val="TableGrid"/>
        <w:tblW w:w="9021" w:type="dxa"/>
        <w:tblInd w:w="-5" w:type="dxa"/>
        <w:tblLook w:val="04A0" w:firstRow="1" w:lastRow="0" w:firstColumn="1" w:lastColumn="0" w:noHBand="0" w:noVBand="1"/>
      </w:tblPr>
      <w:tblGrid>
        <w:gridCol w:w="2127"/>
        <w:gridCol w:w="6894"/>
      </w:tblGrid>
      <w:tr w:rsidR="00A041A3" w:rsidRPr="00032DC6" w14:paraId="3487C9EF" w14:textId="77777777" w:rsidTr="007B3913">
        <w:trPr>
          <w:trHeight w:val="329"/>
        </w:trPr>
        <w:tc>
          <w:tcPr>
            <w:tcW w:w="2127" w:type="dxa"/>
          </w:tcPr>
          <w:p w14:paraId="2BEAD00F" w14:textId="77777777" w:rsidR="00A041A3" w:rsidRPr="00032DC6" w:rsidRDefault="00A041A3" w:rsidP="007B3913">
            <w:pPr>
              <w:rPr>
                <w:rFonts w:asciiTheme="minorHAnsi" w:hAnsiTheme="minorHAnsi" w:cstheme="minorHAnsi"/>
                <w:b/>
                <w:bCs/>
                <w:color w:val="000000" w:themeColor="text1"/>
                <w:kern w:val="24"/>
              </w:rPr>
            </w:pPr>
            <w:r w:rsidRPr="00032DC6">
              <w:rPr>
                <w:rFonts w:asciiTheme="minorHAnsi" w:hAnsiTheme="minorHAnsi" w:cstheme="minorHAnsi"/>
                <w:b/>
                <w:bCs/>
                <w:color w:val="000000" w:themeColor="text1"/>
                <w:kern w:val="24"/>
              </w:rPr>
              <w:t>Domain</w:t>
            </w:r>
          </w:p>
        </w:tc>
        <w:tc>
          <w:tcPr>
            <w:tcW w:w="6894" w:type="dxa"/>
          </w:tcPr>
          <w:p w14:paraId="6A3CAB62" w14:textId="77777777" w:rsidR="00A041A3" w:rsidRPr="00032DC6" w:rsidRDefault="00A041A3" w:rsidP="007B3913">
            <w:pPr>
              <w:rPr>
                <w:rFonts w:asciiTheme="minorHAnsi" w:hAnsiTheme="minorHAnsi" w:cstheme="minorHAnsi"/>
                <w:b/>
                <w:bCs/>
                <w:color w:val="000000" w:themeColor="text1"/>
                <w:kern w:val="24"/>
              </w:rPr>
            </w:pPr>
            <w:r w:rsidRPr="00032DC6">
              <w:rPr>
                <w:rFonts w:asciiTheme="minorHAnsi" w:hAnsiTheme="minorHAnsi" w:cstheme="minorHAnsi"/>
                <w:b/>
                <w:bCs/>
                <w:color w:val="000000" w:themeColor="text1"/>
                <w:kern w:val="24"/>
              </w:rPr>
              <w:t xml:space="preserve">Objectives </w:t>
            </w:r>
          </w:p>
        </w:tc>
      </w:tr>
      <w:tr w:rsidR="00A041A3" w:rsidRPr="00032DC6" w14:paraId="3BCED872" w14:textId="77777777" w:rsidTr="007B3913">
        <w:trPr>
          <w:trHeight w:val="329"/>
        </w:trPr>
        <w:tc>
          <w:tcPr>
            <w:tcW w:w="2127" w:type="dxa"/>
            <w:vMerge w:val="restart"/>
          </w:tcPr>
          <w:p w14:paraId="585AAEEA" w14:textId="77777777" w:rsidR="00A041A3" w:rsidRPr="00032DC6" w:rsidRDefault="00A041A3" w:rsidP="007B3913">
            <w:pPr>
              <w:rPr>
                <w:rFonts w:asciiTheme="minorHAnsi" w:hAnsiTheme="minorHAnsi" w:cstheme="minorHAnsi"/>
                <w:color w:val="000000" w:themeColor="text1"/>
                <w:kern w:val="24"/>
              </w:rPr>
            </w:pPr>
            <w:r w:rsidRPr="00032DC6">
              <w:rPr>
                <w:rFonts w:asciiTheme="minorHAnsi" w:hAnsiTheme="minorHAnsi" w:cstheme="minorHAnsi"/>
                <w:color w:val="000000" w:themeColor="text1"/>
                <w:kern w:val="24"/>
              </w:rPr>
              <w:t>Country</w:t>
            </w:r>
          </w:p>
        </w:tc>
        <w:tc>
          <w:tcPr>
            <w:tcW w:w="6894" w:type="dxa"/>
          </w:tcPr>
          <w:p w14:paraId="29F51FB9" w14:textId="77777777" w:rsidR="00A041A3" w:rsidRPr="00032DC6" w:rsidRDefault="00A041A3" w:rsidP="007B3913">
            <w:pPr>
              <w:rPr>
                <w:rFonts w:asciiTheme="minorHAnsi" w:hAnsiTheme="minorHAnsi" w:cstheme="minorHAnsi"/>
                <w:color w:val="000000" w:themeColor="text1"/>
                <w:kern w:val="24"/>
              </w:rPr>
            </w:pPr>
            <w:r w:rsidRPr="00032DC6">
              <w:rPr>
                <w:rFonts w:asciiTheme="minorHAnsi" w:hAnsiTheme="minorHAnsi" w:cstheme="minorHAnsi"/>
                <w:color w:val="000000" w:themeColor="text1"/>
                <w:kern w:val="24"/>
              </w:rPr>
              <w:t>Improve cultural land</w:t>
            </w:r>
            <w:r>
              <w:rPr>
                <w:rFonts w:asciiTheme="minorHAnsi" w:hAnsiTheme="minorHAnsi" w:cstheme="minorHAnsi"/>
                <w:color w:val="000000" w:themeColor="text1"/>
                <w:kern w:val="24"/>
              </w:rPr>
              <w:t>/sea</w:t>
            </w:r>
            <w:r w:rsidRPr="00032DC6">
              <w:rPr>
                <w:rFonts w:asciiTheme="minorHAnsi" w:hAnsiTheme="minorHAnsi" w:cstheme="minorHAnsi"/>
                <w:color w:val="000000" w:themeColor="text1"/>
                <w:kern w:val="24"/>
              </w:rPr>
              <w:t>scape health and protection</w:t>
            </w:r>
          </w:p>
        </w:tc>
      </w:tr>
      <w:tr w:rsidR="00A041A3" w:rsidRPr="00032DC6" w14:paraId="7DDED052" w14:textId="77777777" w:rsidTr="007B3913">
        <w:trPr>
          <w:trHeight w:val="329"/>
        </w:trPr>
        <w:tc>
          <w:tcPr>
            <w:tcW w:w="2127" w:type="dxa"/>
            <w:vMerge/>
          </w:tcPr>
          <w:p w14:paraId="095257E5" w14:textId="77777777" w:rsidR="00A041A3" w:rsidRPr="00032DC6" w:rsidRDefault="00A041A3" w:rsidP="007B3913">
            <w:pPr>
              <w:rPr>
                <w:rFonts w:asciiTheme="minorHAnsi" w:hAnsiTheme="minorHAnsi" w:cstheme="minorHAnsi"/>
                <w:color w:val="000000" w:themeColor="text1"/>
                <w:kern w:val="24"/>
              </w:rPr>
            </w:pPr>
          </w:p>
        </w:tc>
        <w:tc>
          <w:tcPr>
            <w:tcW w:w="6894" w:type="dxa"/>
          </w:tcPr>
          <w:p w14:paraId="3702B4CC" w14:textId="77777777" w:rsidR="00A041A3" w:rsidRPr="00032DC6" w:rsidRDefault="00A041A3" w:rsidP="007B3913">
            <w:pPr>
              <w:rPr>
                <w:rFonts w:asciiTheme="minorHAnsi" w:hAnsiTheme="minorHAnsi" w:cstheme="minorHAnsi"/>
                <w:color w:val="000000" w:themeColor="text1"/>
                <w:kern w:val="24"/>
              </w:rPr>
            </w:pPr>
            <w:r w:rsidRPr="00032DC6">
              <w:rPr>
                <w:rFonts w:asciiTheme="minorHAnsi" w:hAnsiTheme="minorHAnsi" w:cstheme="minorHAnsi"/>
                <w:color w:val="000000" w:themeColor="text1"/>
                <w:kern w:val="24"/>
              </w:rPr>
              <w:t>Improve cultural and spiritual connection, health, and wellbeing</w:t>
            </w:r>
          </w:p>
        </w:tc>
      </w:tr>
      <w:tr w:rsidR="00A041A3" w:rsidRPr="00032DC6" w14:paraId="37C6943B" w14:textId="77777777" w:rsidTr="007B3913">
        <w:trPr>
          <w:trHeight w:val="329"/>
        </w:trPr>
        <w:tc>
          <w:tcPr>
            <w:tcW w:w="2127" w:type="dxa"/>
            <w:vMerge w:val="restart"/>
          </w:tcPr>
          <w:p w14:paraId="67EACE4D" w14:textId="77777777" w:rsidR="00A041A3" w:rsidRPr="00032DC6" w:rsidRDefault="00A041A3" w:rsidP="007B3913">
            <w:pPr>
              <w:rPr>
                <w:rFonts w:asciiTheme="minorHAnsi" w:hAnsiTheme="minorHAnsi" w:cstheme="minorHAnsi"/>
                <w:color w:val="000000" w:themeColor="text1"/>
                <w:kern w:val="24"/>
              </w:rPr>
            </w:pPr>
            <w:r w:rsidRPr="00032DC6">
              <w:rPr>
                <w:rFonts w:asciiTheme="minorHAnsi" w:hAnsiTheme="minorHAnsi" w:cstheme="minorHAnsi"/>
                <w:color w:val="000000" w:themeColor="text1"/>
                <w:kern w:val="24"/>
              </w:rPr>
              <w:t>Culture</w:t>
            </w:r>
          </w:p>
        </w:tc>
        <w:tc>
          <w:tcPr>
            <w:tcW w:w="6894" w:type="dxa"/>
          </w:tcPr>
          <w:p w14:paraId="35F94B32" w14:textId="77777777" w:rsidR="00A041A3" w:rsidRPr="00032DC6" w:rsidRDefault="00A041A3" w:rsidP="007B3913">
            <w:pPr>
              <w:rPr>
                <w:rFonts w:asciiTheme="minorHAnsi" w:hAnsiTheme="minorHAnsi" w:cstheme="minorHAnsi"/>
                <w:color w:val="000000" w:themeColor="text1"/>
                <w:kern w:val="24"/>
              </w:rPr>
            </w:pPr>
            <w:r w:rsidRPr="00032DC6">
              <w:rPr>
                <w:rFonts w:asciiTheme="minorHAnsi" w:hAnsiTheme="minorHAnsi" w:cstheme="minorHAnsi"/>
                <w:color w:val="000000" w:themeColor="text1"/>
                <w:kern w:val="24"/>
              </w:rPr>
              <w:t>Increase cultural knowledge transfer in a culturally secure manner</w:t>
            </w:r>
          </w:p>
        </w:tc>
      </w:tr>
      <w:tr w:rsidR="00A041A3" w:rsidRPr="00032DC6" w14:paraId="1AD25F1F" w14:textId="77777777" w:rsidTr="007B3913">
        <w:trPr>
          <w:trHeight w:val="329"/>
        </w:trPr>
        <w:tc>
          <w:tcPr>
            <w:tcW w:w="2127" w:type="dxa"/>
            <w:vMerge/>
          </w:tcPr>
          <w:p w14:paraId="583177D2" w14:textId="77777777" w:rsidR="00A041A3" w:rsidRPr="00032DC6" w:rsidRDefault="00A041A3" w:rsidP="007B3913">
            <w:pPr>
              <w:rPr>
                <w:rFonts w:asciiTheme="minorHAnsi" w:hAnsiTheme="minorHAnsi" w:cstheme="minorHAnsi"/>
                <w:color w:val="000000" w:themeColor="text1"/>
                <w:kern w:val="24"/>
              </w:rPr>
            </w:pPr>
          </w:p>
        </w:tc>
        <w:tc>
          <w:tcPr>
            <w:tcW w:w="6894" w:type="dxa"/>
          </w:tcPr>
          <w:p w14:paraId="7CCE8BB3" w14:textId="77777777" w:rsidR="00A041A3" w:rsidRPr="00032DC6" w:rsidRDefault="00A041A3" w:rsidP="007B3913">
            <w:pPr>
              <w:rPr>
                <w:rFonts w:asciiTheme="minorHAnsi" w:hAnsiTheme="minorHAnsi" w:cstheme="minorHAnsi"/>
                <w:color w:val="000000" w:themeColor="text1"/>
                <w:kern w:val="24"/>
              </w:rPr>
            </w:pPr>
            <w:r w:rsidRPr="00032DC6">
              <w:rPr>
                <w:rFonts w:asciiTheme="minorHAnsi" w:hAnsiTheme="minorHAnsi" w:cstheme="minorHAnsi"/>
              </w:rPr>
              <w:t xml:space="preserve">Promote Indigenous Knowledge as </w:t>
            </w:r>
            <w:r>
              <w:rPr>
                <w:rFonts w:asciiTheme="minorHAnsi" w:hAnsiTheme="minorHAnsi" w:cstheme="minorHAnsi"/>
              </w:rPr>
              <w:t>the first</w:t>
            </w:r>
            <w:r w:rsidRPr="00032DC6">
              <w:rPr>
                <w:rFonts w:asciiTheme="minorHAnsi" w:hAnsiTheme="minorHAnsi" w:cstheme="minorHAnsi"/>
              </w:rPr>
              <w:t xml:space="preserve"> </w:t>
            </w:r>
            <w:r>
              <w:rPr>
                <w:rFonts w:asciiTheme="minorHAnsi" w:hAnsiTheme="minorHAnsi" w:cstheme="minorHAnsi"/>
              </w:rPr>
              <w:t>s</w:t>
            </w:r>
            <w:r w:rsidRPr="00032DC6">
              <w:rPr>
                <w:rFonts w:asciiTheme="minorHAnsi" w:hAnsiTheme="minorHAnsi" w:cstheme="minorHAnsi"/>
              </w:rPr>
              <w:t>cience</w:t>
            </w:r>
          </w:p>
        </w:tc>
      </w:tr>
      <w:tr w:rsidR="00A041A3" w:rsidRPr="00032DC6" w14:paraId="5CB43B84" w14:textId="77777777" w:rsidTr="007B3913">
        <w:trPr>
          <w:trHeight w:val="329"/>
        </w:trPr>
        <w:tc>
          <w:tcPr>
            <w:tcW w:w="2127" w:type="dxa"/>
            <w:vMerge w:val="restart"/>
          </w:tcPr>
          <w:p w14:paraId="1397DCF0" w14:textId="77777777" w:rsidR="00A041A3" w:rsidRPr="00032DC6" w:rsidRDefault="00A041A3" w:rsidP="007B3913">
            <w:pPr>
              <w:rPr>
                <w:rFonts w:asciiTheme="minorHAnsi" w:hAnsiTheme="minorHAnsi" w:cstheme="minorHAnsi"/>
                <w:color w:val="000000" w:themeColor="text1"/>
                <w:kern w:val="24"/>
              </w:rPr>
            </w:pPr>
            <w:r w:rsidRPr="00032DC6">
              <w:rPr>
                <w:rFonts w:asciiTheme="minorHAnsi" w:hAnsiTheme="minorHAnsi" w:cstheme="minorHAnsi"/>
                <w:color w:val="000000" w:themeColor="text1"/>
                <w:kern w:val="24"/>
              </w:rPr>
              <w:t>Kin</w:t>
            </w:r>
          </w:p>
        </w:tc>
        <w:tc>
          <w:tcPr>
            <w:tcW w:w="6894" w:type="dxa"/>
          </w:tcPr>
          <w:p w14:paraId="4403B143" w14:textId="77777777" w:rsidR="00A041A3" w:rsidRPr="00032DC6" w:rsidRDefault="00A041A3" w:rsidP="007B3913">
            <w:pPr>
              <w:rPr>
                <w:rFonts w:asciiTheme="minorHAnsi" w:hAnsiTheme="minorHAnsi" w:cstheme="minorHAnsi"/>
              </w:rPr>
            </w:pPr>
            <w:r w:rsidRPr="00032DC6">
              <w:rPr>
                <w:rFonts w:asciiTheme="minorHAnsi" w:hAnsiTheme="minorHAnsi" w:cstheme="minorHAnsi"/>
                <w:color w:val="000000" w:themeColor="text1"/>
                <w:kern w:val="24"/>
              </w:rPr>
              <w:t xml:space="preserve">Empowering Indigenous-led governance structures   </w:t>
            </w:r>
          </w:p>
        </w:tc>
      </w:tr>
      <w:tr w:rsidR="00A041A3" w:rsidRPr="00032DC6" w14:paraId="642B5D7A" w14:textId="77777777" w:rsidTr="007B3913">
        <w:trPr>
          <w:trHeight w:val="329"/>
        </w:trPr>
        <w:tc>
          <w:tcPr>
            <w:tcW w:w="2127" w:type="dxa"/>
            <w:vMerge/>
          </w:tcPr>
          <w:p w14:paraId="095C318A" w14:textId="77777777" w:rsidR="00A041A3" w:rsidRPr="00032DC6" w:rsidRDefault="00A041A3" w:rsidP="007B3913">
            <w:pPr>
              <w:rPr>
                <w:rFonts w:asciiTheme="minorHAnsi" w:hAnsiTheme="minorHAnsi" w:cstheme="minorHAnsi"/>
              </w:rPr>
            </w:pPr>
          </w:p>
        </w:tc>
        <w:tc>
          <w:tcPr>
            <w:tcW w:w="6894" w:type="dxa"/>
          </w:tcPr>
          <w:p w14:paraId="30E534E7" w14:textId="77777777" w:rsidR="00A041A3" w:rsidRPr="00032DC6" w:rsidRDefault="00A041A3" w:rsidP="007B3913">
            <w:pPr>
              <w:rPr>
                <w:rFonts w:asciiTheme="minorHAnsi" w:hAnsiTheme="minorHAnsi" w:cstheme="minorHAnsi"/>
              </w:rPr>
            </w:pPr>
            <w:r w:rsidRPr="00032DC6">
              <w:rPr>
                <w:rFonts w:asciiTheme="minorHAnsi" w:hAnsiTheme="minorHAnsi" w:cstheme="minorHAnsi"/>
                <w:color w:val="000000" w:themeColor="text1"/>
                <w:kern w:val="24"/>
              </w:rPr>
              <w:t>Emphasize cultural responsibility and autonomy to Country</w:t>
            </w:r>
          </w:p>
        </w:tc>
      </w:tr>
    </w:tbl>
    <w:p w14:paraId="6EAE102C" w14:textId="77777777" w:rsidR="00A041A3" w:rsidRPr="00BD2496" w:rsidRDefault="00A041A3" w:rsidP="00A041A3">
      <w:pPr>
        <w:spacing w:line="360" w:lineRule="auto"/>
        <w:rPr>
          <w:rFonts w:asciiTheme="minorHAnsi" w:hAnsiTheme="minorHAnsi" w:cstheme="minorHAnsi"/>
          <w:sz w:val="24"/>
          <w:szCs w:val="24"/>
        </w:rPr>
      </w:pPr>
    </w:p>
    <w:p w14:paraId="26AF55AE" w14:textId="77777777" w:rsidR="00A041A3" w:rsidRDefault="00A041A3" w:rsidP="00A041A3">
      <w:pPr>
        <w:pStyle w:val="BodyText"/>
        <w:spacing w:before="147" w:line="360" w:lineRule="auto"/>
        <w:ind w:right="764"/>
        <w:rPr>
          <w:rFonts w:asciiTheme="minorHAnsi" w:hAnsiTheme="minorHAnsi" w:cstheme="minorHAnsi"/>
          <w:b/>
          <w:color w:val="000000" w:themeColor="text1"/>
        </w:rPr>
      </w:pPr>
      <w:r w:rsidRPr="00884BD9">
        <w:rPr>
          <w:rFonts w:asciiTheme="minorHAnsi" w:hAnsiTheme="minorHAnsi" w:cstheme="minorHAnsi"/>
          <w:b/>
          <w:i/>
          <w:iCs/>
          <w:color w:val="000000" w:themeColor="text1"/>
        </w:rPr>
        <w:t>Step four</w:t>
      </w:r>
      <w:r>
        <w:rPr>
          <w:rFonts w:asciiTheme="minorHAnsi" w:hAnsiTheme="minorHAnsi" w:cstheme="minorHAnsi"/>
          <w:b/>
          <w:i/>
          <w:iCs/>
          <w:color w:val="000000" w:themeColor="text1"/>
        </w:rPr>
        <w:t xml:space="preserve"> (a): </w:t>
      </w:r>
      <w:r>
        <w:rPr>
          <w:rFonts w:asciiTheme="minorHAnsi" w:hAnsiTheme="minorHAnsi" w:cstheme="minorHAnsi"/>
          <w:bCs/>
          <w:i/>
          <w:iCs/>
          <w:color w:val="000000" w:themeColor="text1"/>
        </w:rPr>
        <w:t>Evaluating Culturally Significant Entities.</w:t>
      </w:r>
    </w:p>
    <w:p w14:paraId="2F76CB0E" w14:textId="77777777" w:rsidR="00A041A3" w:rsidRDefault="00A041A3" w:rsidP="00A041A3">
      <w:pPr>
        <w:spacing w:line="360" w:lineRule="auto"/>
        <w:rPr>
          <w:sz w:val="24"/>
          <w:szCs w:val="24"/>
        </w:rPr>
      </w:pPr>
      <w:r w:rsidRPr="00D22771">
        <w:rPr>
          <w:sz w:val="24"/>
          <w:szCs w:val="24"/>
        </w:rPr>
        <w:t xml:space="preserve">The consequences step in structured decision making is undertaken </w:t>
      </w:r>
      <w:r>
        <w:rPr>
          <w:sz w:val="24"/>
          <w:szCs w:val="24"/>
        </w:rPr>
        <w:t>by</w:t>
      </w:r>
      <w:r w:rsidRPr="00D22771">
        <w:rPr>
          <w:sz w:val="24"/>
          <w:szCs w:val="24"/>
        </w:rPr>
        <w:t xml:space="preserve"> experts to determine </w:t>
      </w:r>
      <w:r>
        <w:rPr>
          <w:sz w:val="24"/>
          <w:szCs w:val="24"/>
        </w:rPr>
        <w:t>how effective</w:t>
      </w:r>
      <w:r w:rsidRPr="00D22771">
        <w:rPr>
          <w:sz w:val="24"/>
          <w:szCs w:val="24"/>
        </w:rPr>
        <w:t xml:space="preserve"> management actions are </w:t>
      </w:r>
      <w:r>
        <w:rPr>
          <w:sz w:val="24"/>
          <w:szCs w:val="24"/>
        </w:rPr>
        <w:t xml:space="preserve">in addressing objectives. Indigenous knowledge holders are the experts on CSE, and </w:t>
      </w:r>
      <w:r w:rsidRPr="00196372">
        <w:rPr>
          <w:sz w:val="24"/>
          <w:szCs w:val="24"/>
        </w:rPr>
        <w:t xml:space="preserve">workshop participants were happy to identify CSE but felt it wasn’t culturally appropriate to prioritize the CSE for </w:t>
      </w:r>
      <w:r>
        <w:rPr>
          <w:sz w:val="24"/>
          <w:szCs w:val="24"/>
        </w:rPr>
        <w:t xml:space="preserve">collaborative </w:t>
      </w:r>
      <w:r w:rsidRPr="00196372">
        <w:rPr>
          <w:sz w:val="24"/>
          <w:szCs w:val="24"/>
        </w:rPr>
        <w:t xml:space="preserve">management </w:t>
      </w:r>
      <w:r>
        <w:rPr>
          <w:sz w:val="24"/>
          <w:szCs w:val="24"/>
        </w:rPr>
        <w:t>approaches</w:t>
      </w:r>
      <w:r w:rsidRPr="00196372">
        <w:rPr>
          <w:sz w:val="24"/>
          <w:szCs w:val="24"/>
        </w:rPr>
        <w:t xml:space="preserve">. </w:t>
      </w:r>
      <w:r>
        <w:rPr>
          <w:sz w:val="24"/>
          <w:szCs w:val="24"/>
        </w:rPr>
        <w:t>As such,</w:t>
      </w:r>
      <w:r w:rsidRPr="00196372">
        <w:rPr>
          <w:sz w:val="24"/>
          <w:szCs w:val="24"/>
        </w:rPr>
        <w:t xml:space="preserve"> they requested a survey distributed to the wider Bundjalung community as a more transparent </w:t>
      </w:r>
      <w:r w:rsidRPr="00196372">
        <w:rPr>
          <w:sz w:val="24"/>
          <w:szCs w:val="24"/>
        </w:rPr>
        <w:lastRenderedPageBreak/>
        <w:t>decision-making process for prioritization. The Bundjalung-led survey was co-authored with JAAC and circulated throughout community networks via social media and email. The survey questions consisted of ranking and open-end questions and</w:t>
      </w:r>
      <w:r w:rsidRPr="00196372">
        <w:rPr>
          <w:rFonts w:asciiTheme="minorHAnsi" w:hAnsiTheme="minorHAnsi" w:cstheme="minorHAnsi"/>
          <w:sz w:val="24"/>
          <w:szCs w:val="24"/>
        </w:rPr>
        <w:t xml:space="preserve"> based on the findings from workshop</w:t>
      </w:r>
      <w:r>
        <w:rPr>
          <w:rFonts w:asciiTheme="minorHAnsi" w:hAnsiTheme="minorHAnsi" w:cstheme="minorHAnsi"/>
          <w:sz w:val="24"/>
          <w:szCs w:val="24"/>
        </w:rPr>
        <w:t>s</w:t>
      </w:r>
      <w:r w:rsidRPr="00196372">
        <w:rPr>
          <w:rFonts w:asciiTheme="minorHAnsi" w:hAnsiTheme="minorHAnsi" w:cstheme="minorHAnsi"/>
          <w:sz w:val="24"/>
          <w:szCs w:val="24"/>
        </w:rPr>
        <w:t xml:space="preserve"> (</w:t>
      </w:r>
      <w:r w:rsidRPr="00790C36">
        <w:rPr>
          <w:rFonts w:asciiTheme="minorHAnsi" w:hAnsiTheme="minorHAnsi" w:cstheme="minorHAnsi"/>
          <w:color w:val="000000" w:themeColor="text1"/>
          <w:sz w:val="24"/>
          <w:szCs w:val="24"/>
        </w:rPr>
        <w:t>Supplementary Data survey questions</w:t>
      </w:r>
      <w:r w:rsidRPr="00196372">
        <w:rPr>
          <w:rFonts w:asciiTheme="minorHAnsi" w:hAnsiTheme="minorHAnsi" w:cstheme="minorHAnsi"/>
          <w:sz w:val="24"/>
          <w:szCs w:val="24"/>
        </w:rPr>
        <w:t xml:space="preserve">). </w:t>
      </w:r>
      <w:r>
        <w:rPr>
          <w:rFonts w:asciiTheme="minorHAnsi" w:hAnsiTheme="minorHAnsi" w:cstheme="minorHAnsi"/>
          <w:sz w:val="24"/>
          <w:szCs w:val="24"/>
        </w:rPr>
        <w:t>The survey</w:t>
      </w:r>
      <w:r w:rsidRPr="00196372">
        <w:rPr>
          <w:rFonts w:asciiTheme="minorHAnsi" w:hAnsiTheme="minorHAnsi" w:cstheme="minorHAnsi"/>
          <w:sz w:val="24"/>
          <w:szCs w:val="24"/>
        </w:rPr>
        <w:t xml:space="preserve"> was open for 12 weeks and a chance to win gift vouchers for a local Bundjalung owned business were used as an incentive to complete the survey. </w:t>
      </w:r>
      <w:r w:rsidRPr="00196372">
        <w:rPr>
          <w:rFonts w:asciiTheme="minorHAnsi" w:hAnsiTheme="minorHAnsi" w:cstheme="minorHAnsi"/>
          <w:color w:val="000000" w:themeColor="text1"/>
          <w:sz w:val="24"/>
          <w:szCs w:val="24"/>
        </w:rPr>
        <w:t>Using a continuum of importance</w:t>
      </w:r>
      <w:r>
        <w:rPr>
          <w:rFonts w:asciiTheme="minorHAnsi" w:hAnsiTheme="minorHAnsi" w:cstheme="minorHAnsi"/>
          <w:color w:val="000000" w:themeColor="text1"/>
          <w:sz w:val="24"/>
          <w:szCs w:val="24"/>
        </w:rPr>
        <w:t xml:space="preserve"> to determine prioritization</w:t>
      </w:r>
      <w:r w:rsidRPr="00196372">
        <w:rPr>
          <w:rFonts w:asciiTheme="minorHAnsi" w:hAnsiTheme="minorHAnsi" w:cstheme="minorHAnsi"/>
          <w:color w:val="000000" w:themeColor="text1"/>
          <w:sz w:val="24"/>
          <w:szCs w:val="24"/>
        </w:rPr>
        <w:t>, Bundjalung CSE were mapped</w:t>
      </w:r>
      <w:r>
        <w:rPr>
          <w:rFonts w:asciiTheme="minorHAnsi" w:hAnsiTheme="minorHAnsi" w:cstheme="minorHAnsi"/>
          <w:color w:val="000000" w:themeColor="text1"/>
          <w:sz w:val="24"/>
          <w:szCs w:val="24"/>
        </w:rPr>
        <w:t xml:space="preserve"> to demonstrate the culturally significant species most preferred for collaborative management approaches</w:t>
      </w:r>
      <w:r w:rsidRPr="00196372">
        <w:rPr>
          <w:rFonts w:asciiTheme="minorHAnsi" w:hAnsiTheme="minorHAnsi" w:cstheme="minorHAnsi"/>
          <w:color w:val="000000" w:themeColor="text1"/>
          <w:sz w:val="24"/>
          <w:szCs w:val="24"/>
        </w:rPr>
        <w:t xml:space="preserve"> </w:t>
      </w:r>
      <w:r w:rsidRPr="00196372">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ADDIN ZOTERO_ITEM CSL_CITATION {"citationID":"si5B82wG","properties":{"formattedCitation":"\\super 2\\nosupersub{}","plainCitation":"2","noteIndex":0},"citationItems":[{"id":78,"uris":["http://zotero.org/users/6363004/items/KNN2ZUF7"],"itemData":{"id":78,"type":"article-journal","abstract":"The concept of “keystone species” has been widely used in biology and ecology to better understand certain biological dynamics at the ecosystem level of analysis. It illustrates the complexity of ecosystem interactions and the dependency of the entire web on certain species that are critical to its stability. While great effort has been put into studying those species that are central to the functioning of the natural ecosystem where they are embedded, not enough is known about the importance of certain plant and animal species for the cultural stability of human communities.","container-title":"Human Ecology Review","issue":"2","language":"en","page":"13","source":"Zotero","title":"Culturally Defined Keystone Species","volume":"11","author":[{"family":"Cristancho","given":"Sergio"},{"family":"Vining","given":"Joanne"}],"issued":{"date-parts":[["2004"]]}}}],"schema":"https://github.com/citation-style-language/schema/raw/master/csl-citation.json"} </w:instrText>
      </w:r>
      <w:r w:rsidRPr="00196372">
        <w:rPr>
          <w:rFonts w:asciiTheme="minorHAnsi" w:hAnsiTheme="minorHAnsi" w:cstheme="minorHAnsi"/>
          <w:color w:val="000000" w:themeColor="text1"/>
          <w:sz w:val="24"/>
          <w:szCs w:val="24"/>
        </w:rPr>
        <w:fldChar w:fldCharType="separate"/>
      </w:r>
      <w:r w:rsidRPr="00C47EF6">
        <w:rPr>
          <w:rFonts w:hAnsiTheme="minorHAnsi"/>
          <w:color w:val="000000"/>
          <w:sz w:val="24"/>
          <w:vertAlign w:val="superscript"/>
          <w:lang w:val="en-GB"/>
        </w:rPr>
        <w:t>2</w:t>
      </w:r>
      <w:r w:rsidRPr="00196372">
        <w:rPr>
          <w:rFonts w:asciiTheme="minorHAnsi" w:hAnsiTheme="minorHAnsi" w:cstheme="minorHAnsi"/>
          <w:color w:val="000000" w:themeColor="text1"/>
          <w:sz w:val="24"/>
          <w:szCs w:val="24"/>
        </w:rPr>
        <w:fldChar w:fldCharType="end"/>
      </w:r>
      <w:r w:rsidRPr="00196372">
        <w:rPr>
          <w:rFonts w:asciiTheme="minorHAnsi" w:hAnsiTheme="minorHAnsi" w:cstheme="minorHAnsi"/>
          <w:color w:val="000000" w:themeColor="text1"/>
          <w:sz w:val="24"/>
          <w:szCs w:val="24"/>
        </w:rPr>
        <w:t>.</w:t>
      </w:r>
    </w:p>
    <w:p w14:paraId="7B589F90" w14:textId="77777777" w:rsidR="00A041A3" w:rsidRDefault="00A041A3" w:rsidP="00A041A3">
      <w:pPr>
        <w:spacing w:line="360" w:lineRule="auto"/>
        <w:rPr>
          <w:sz w:val="24"/>
          <w:szCs w:val="24"/>
        </w:rPr>
      </w:pPr>
    </w:p>
    <w:p w14:paraId="11EE6275" w14:textId="77777777" w:rsidR="00A041A3" w:rsidRDefault="00A041A3" w:rsidP="00A041A3">
      <w:pPr>
        <w:spacing w:line="360" w:lineRule="auto"/>
        <w:rPr>
          <w:sz w:val="24"/>
          <w:szCs w:val="24"/>
        </w:rPr>
      </w:pPr>
      <w:r>
        <w:rPr>
          <w:sz w:val="24"/>
          <w:szCs w:val="24"/>
        </w:rPr>
        <w:t>Once the survey results were analyzed, t</w:t>
      </w:r>
      <w:r w:rsidRPr="00196372">
        <w:rPr>
          <w:sz w:val="24"/>
          <w:szCs w:val="24"/>
        </w:rPr>
        <w:t>he prioritized Bundjalung-led CSE were evaluated by JAAC practitioners’ (N=</w:t>
      </w:r>
      <w:r>
        <w:rPr>
          <w:sz w:val="24"/>
          <w:szCs w:val="24"/>
        </w:rPr>
        <w:t>7</w:t>
      </w:r>
      <w:r w:rsidRPr="00196372">
        <w:rPr>
          <w:sz w:val="24"/>
          <w:szCs w:val="24"/>
        </w:rPr>
        <w:t xml:space="preserve">) </w:t>
      </w:r>
      <w:r>
        <w:rPr>
          <w:sz w:val="24"/>
          <w:szCs w:val="24"/>
        </w:rPr>
        <w:t xml:space="preserve">who used their </w:t>
      </w:r>
      <w:r w:rsidRPr="00196372">
        <w:rPr>
          <w:sz w:val="24"/>
          <w:szCs w:val="24"/>
        </w:rPr>
        <w:t xml:space="preserve">expert knowledge of traditional management to predict </w:t>
      </w:r>
      <w:r>
        <w:rPr>
          <w:sz w:val="24"/>
          <w:szCs w:val="24"/>
        </w:rPr>
        <w:t>the</w:t>
      </w:r>
      <w:r w:rsidRPr="00196372">
        <w:rPr>
          <w:sz w:val="24"/>
          <w:szCs w:val="24"/>
        </w:rPr>
        <w:t xml:space="preserve"> likelihood of achieving the objectives via a consequence table. JAAC Knowledge holders were asked if the priority CSE were removed from Country, </w:t>
      </w:r>
      <w:r>
        <w:rPr>
          <w:sz w:val="24"/>
          <w:szCs w:val="24"/>
        </w:rPr>
        <w:t xml:space="preserve">whether there </w:t>
      </w:r>
      <w:r w:rsidRPr="00196372">
        <w:rPr>
          <w:sz w:val="24"/>
          <w:szCs w:val="24"/>
        </w:rPr>
        <w:t xml:space="preserve">would be a notable impact on the objectives. The group developed a consensus </w:t>
      </w:r>
      <w:r>
        <w:rPr>
          <w:sz w:val="24"/>
          <w:szCs w:val="24"/>
        </w:rPr>
        <w:t>binary</w:t>
      </w:r>
      <w:r w:rsidRPr="00196372">
        <w:rPr>
          <w:sz w:val="24"/>
          <w:szCs w:val="24"/>
        </w:rPr>
        <w:t xml:space="preserve"> score (</w:t>
      </w:r>
      <w:r>
        <w:rPr>
          <w:sz w:val="24"/>
          <w:szCs w:val="24"/>
        </w:rPr>
        <w:t>No= 0, Yes= 1</w:t>
      </w:r>
      <w:r w:rsidRPr="00196372">
        <w:rPr>
          <w:sz w:val="24"/>
          <w:szCs w:val="24"/>
        </w:rPr>
        <w:t xml:space="preserve">) </w:t>
      </w:r>
      <w:r w:rsidRPr="00196372">
        <w:rPr>
          <w:sz w:val="24"/>
          <w:szCs w:val="24"/>
        </w:rPr>
        <w:fldChar w:fldCharType="begin"/>
      </w:r>
      <w:r>
        <w:rPr>
          <w:sz w:val="24"/>
          <w:szCs w:val="24"/>
        </w:rPr>
        <w:instrText xml:space="preserve"> ADDIN ZOTERO_ITEM CSL_CITATION {"citationID":"uanq0UNC","properties":{"formattedCitation":"\\super 1,30,33,35\\nosupersub{}","plainCitation":"1,30,33,35","noteIndex":0},"citationItems":[{"id":21,"uris":["http://zotero.org/users/6363004/items/B4S3F2YR"],"itemData":{"id":21,"type":"article-journal","container-title":"Risk Analysis","DOI":"10.1111/j.1539-6924.2008.01182.x","ISSN":"02724332, 15396924","issue":"4","language":"en","page":"518-532","source":"DOI.org (Crossref)","title":"Using Structured Decision Making to Help Implement a Precautionary Approach to Endangered Species Management","volume":"29","author":[{"family":"Gregory","given":"Robin"},{"family":"Long","given":"Graham"}],"issued":{"date-parts":[["2009",4]]}}},{"id":194,"uris":["http://zotero.org/users/6363004/items/3NVP4B5V"],"itemData":{"id":194,"type":"article-journal","abstract":"Climate change is impacting the subsistence livelihoods of many indigenous communities in the Arctic. We describe how structured decision analysis (SDA), informed by traditional ecological knowledge, can be used to understand the mechanisms of how climate change influences subsistence species and their harvest, and to build upon existing adaptive strategies and decision-making processes. In the Iñupiat community of Wainwright, Alaska, we test SDA as a potential framework by which vulnerabilities of subsistence systems can be identified and climate change adaptations can be prioritized. Over the course of five workshops, participants identified issues of concern, assessed the benefits and trade-offs of different strategies to enhance the safety of subsistence activities, identified factors influencing key subsistence species and their accessibility, and assessed the dependence of animals and their harvest on sea ice. Furthermore, we asked workshop participants to assess whether subsistence resources have increased, decreased, or remained stable over the past decade. Declining caribou populations and unsafe ice conditions for hunters were of particular concern in Wainwright. Participants identified high priority safety strategies such as a new docking facility, safety workshops, a hunter meeting place, and search and rescue boats. Because of its coastal location on a lagoon at the mouth of a river, Wainwright has a highly diverse subsistence system that may in part buffer the negative effects of climate change. Furthermore, most species or groups harvested in Wainwright were assessed as stable or increasing. Nevertheless, of the five most important subsistence species in Wainwright, one experienced recent population declines (caribou) and the harvest of three others depends on the presence of thick, reliable shorefast ice. We propose that SDA can be a useful tool to assess the vulnerability of subsistence systems to climate change, and can be used to prioritize strategies to adapt to climate change.","container-title":"Ecology and Society","ISSN":"1708-3087","issue":"4","note":"publisher: Resilience Alliance Inc.","source":"JSTOR","title":"Structured decision analysis informed by traditional ecological knowledge as a tool to strengthen subsistence systems in a changing Arctic","URL":"https://www.jstor.org/stable/26796896","volume":"23","author":[{"family":"Christie","given":"Katherine S."},{"family":"Hollmen","given":"Tuula E."},{"family":"Huntington","given":"Henry P."},{"family":"Lovvorn","given":"James R."}],"accessed":{"date-parts":[["2021",3,23]]},"issued":{"date-parts":[["2018"]]}}},{"id":182,"uris":["http://zotero.org/users/6363004/items/CW67XNIG"],"itemData":{"id":182,"type":"article-journal","abstract":"The cultural keystone species theory predicts plant species that are culturally important, play a role in resource acquisition, fulfil a psycho-socio-cultural function within a given culture, have high use-value, have an associated naming and terminology in a native language, and a high level of species irreplaceability qualify for cultural keystone species designation. This theory was proposed as a framework for understanding relationships between human societies and species that are integral to their culture. A greater understanding of the dynamic roles of cultural keystones in both ecosystem processes and cultural societies is a foundation for facilitating biocultural conservation. Given such important direct conservation implications of the cultural keystone species theory, we reviewed the use of this theoretical framework across the literature to identify new directions for research. Most studies often emphasized the role of cultural keystones species in human societies but failed to provide a robust and reproducible measure of cultural keystone species status or direct test of the predictions of the theory and underemphasized their potential roles in ecosystem processes. To date, no studies that mentioned cultural keystone species tested the predictions of the theory. Only 4.4% provided a measure for cultural keystone status and 47.4% have cited or applied keystone designation to a given species without providing a reproducible measure for cultural keystone species. Studies that provided a measure for cultural keystone species primarily occurred in North America while few of these studies occurred in Australia and Europe with none occurring in Africa. As such, most cultural keystone species have been designated as such qualitatively based on researcher subjectivity while other studies have designated keystone species with quantitative indices of cultural importance, often incorporating researcher biases or measuring a few of the cultural keystone status predictors rather than all of them, indicating a lack of consensus in identifying cultural keystone species. Thus, we pose the need for a paradigm shift toward the development of serious and systematic approaches for keystone designation.","container-title":"Journal of Ethnobiology and Ethnomedicine","DOI":"10.1186/s13002-020-00422-z","ISSN":"1746-4269","issue":"1","journalAbbreviation":"J Ethnobiology Ethnomedicine","language":"en","page":"70","source":"DOI.org (Crossref)","title":"Cultural keystone species revisited: are we asking the right questions?","title-short":"Cultural keystone species revisited","volume":"16","author":[{"family":"Coe","given":"Michael A."},{"family":"Gaoue","given":"Orou G."}],"issued":{"date-parts":[["2020",12]]}}},{"id":567,"uris":["http://zotero.org/users/6363004/items/D5ZGR56R"],"itemData":{"id":567,"type":"article-journal","abstract":"Urgent calls for biocultural conservation highlight the need to engage with Indigenous peoples, whose lands cover some of the most biodiverse regions on Earth. In these places, Indigenous knowledge can be strong, especially for culturally significant species; however, this knowledge tends to be overlooked and deemed incompatible with dominant Western systems of conservation decision-making. The practical mechanics of how Indigenous and Western knowledge systems can be respectfully synergized to inform species conservation decision-making on a regional scale are not well documented. In collaboration with Yolŋu Indigenous rangers from northern Australia, we used a ‘multiple evidence based’ approach to synergize knowledge from senior Yolŋu custodians with Western scientific species distribution modelling (SDM) to explore distribution shifts and biocultural knowledge of two culturally significant, near threatened (critical weight range) mammals: wan'kurra, (Northern Brown Bandicoot, Isoodon macrourus) and marrŋu/rupu (Common Brushtail Possum, Trichosurus vulpecula). Historical Yolŋu species sightings and seasonal observations and the SDM revealed spatial contractions of both species to the northern and mesic regions of the Laynhapuy Indigenous Protected Area over the last 50 years. Knowledge custodians were concerned about the loss of these species and associated cultural knowledge in younger generations. Such cross-cultural knowledge gathering can guide biocultural conservation decision-making and facilitate intergenerational knowledge transmission of threatened cultural knowledge. This approach to collaborative cross-cultural fauna research can be applied globally, and we argue is imperative in contexts where: species and cultures are under threat, and where Indigenous knowledge and peoples can provide insight to inform inclusive biocultural conservation strategies.","container-title":"Biological Conservation","DOI":"10.1016/j.biocon.2022.109656","ISSN":"0006-3207","journalAbbreviation":"Biological Conservation","language":"en","page":"109656","source":"ScienceDirect","title":"Expanding the biocultural benefits of species distribution modelling with Indigenous collaborators: Case study from northern Australia","title-short":"Expanding the biocultural benefits of species distribution modelling with Indigenous collaborators","volume":"274","author":[{"family":"Campbell","given":"Bridget L."},{"family":"Gallagher","given":"Rachael V."},{"family":"Ens","given":"Emilié J."}],"issued":{"date-parts":[["2022",10,1]]}}}],"schema":"https://github.com/citation-style-language/schema/raw/master/csl-citation.json"} </w:instrText>
      </w:r>
      <w:r w:rsidRPr="00196372">
        <w:rPr>
          <w:sz w:val="24"/>
          <w:szCs w:val="24"/>
        </w:rPr>
        <w:fldChar w:fldCharType="separate"/>
      </w:r>
      <w:r w:rsidRPr="00700CAD">
        <w:rPr>
          <w:sz w:val="24"/>
          <w:vertAlign w:val="superscript"/>
          <w:lang w:val="en-GB"/>
        </w:rPr>
        <w:t>1,30,33,35</w:t>
      </w:r>
      <w:r w:rsidRPr="00196372">
        <w:rPr>
          <w:sz w:val="24"/>
          <w:szCs w:val="24"/>
        </w:rPr>
        <w:fldChar w:fldCharType="end"/>
      </w:r>
      <w:r w:rsidRPr="00196372">
        <w:rPr>
          <w:sz w:val="24"/>
          <w:szCs w:val="24"/>
        </w:rPr>
        <w:t xml:space="preserve">. </w:t>
      </w:r>
    </w:p>
    <w:p w14:paraId="0143E1D3" w14:textId="77777777" w:rsidR="00A041A3" w:rsidRDefault="00A041A3" w:rsidP="00A041A3">
      <w:pPr>
        <w:spacing w:line="360" w:lineRule="auto"/>
        <w:rPr>
          <w:sz w:val="24"/>
          <w:szCs w:val="24"/>
        </w:rPr>
      </w:pPr>
    </w:p>
    <w:p w14:paraId="243AFB6D" w14:textId="77777777" w:rsidR="00A041A3" w:rsidRDefault="00A041A3" w:rsidP="00A041A3">
      <w:pPr>
        <w:pStyle w:val="BodyText"/>
        <w:spacing w:before="146" w:line="360" w:lineRule="auto"/>
        <w:ind w:right="777"/>
        <w:rPr>
          <w:rFonts w:asciiTheme="minorHAnsi" w:hAnsiTheme="minorHAnsi" w:cstheme="minorHAnsi"/>
          <w:bCs/>
          <w:i/>
          <w:iCs/>
          <w:color w:val="000000" w:themeColor="text1"/>
        </w:rPr>
      </w:pPr>
      <w:r w:rsidRPr="004B78EF">
        <w:rPr>
          <w:rFonts w:asciiTheme="minorHAnsi" w:hAnsiTheme="minorHAnsi" w:cstheme="minorHAnsi"/>
          <w:b/>
          <w:i/>
          <w:iCs/>
          <w:color w:val="000000" w:themeColor="text1"/>
        </w:rPr>
        <w:t xml:space="preserve">Step three (b): </w:t>
      </w:r>
      <w:r w:rsidRPr="004B78EF">
        <w:rPr>
          <w:rFonts w:asciiTheme="minorHAnsi" w:hAnsiTheme="minorHAnsi" w:cstheme="minorHAnsi"/>
          <w:bCs/>
          <w:i/>
          <w:iCs/>
          <w:color w:val="000000" w:themeColor="text1"/>
        </w:rPr>
        <w:t xml:space="preserve">Identifying alternatives for Bundjalung CSE </w:t>
      </w:r>
      <w:r>
        <w:rPr>
          <w:rFonts w:asciiTheme="minorHAnsi" w:hAnsiTheme="minorHAnsi" w:cstheme="minorHAnsi"/>
          <w:bCs/>
          <w:i/>
          <w:iCs/>
          <w:color w:val="000000" w:themeColor="text1"/>
        </w:rPr>
        <w:t>traditional management actions under a c</w:t>
      </w:r>
      <w:r w:rsidRPr="004B78EF">
        <w:rPr>
          <w:rFonts w:asciiTheme="minorHAnsi" w:hAnsiTheme="minorHAnsi" w:cstheme="minorHAnsi"/>
          <w:bCs/>
          <w:i/>
          <w:iCs/>
          <w:color w:val="000000" w:themeColor="text1"/>
        </w:rPr>
        <w:t xml:space="preserve">ollaborative </w:t>
      </w:r>
      <w:r>
        <w:rPr>
          <w:rFonts w:asciiTheme="minorHAnsi" w:hAnsiTheme="minorHAnsi" w:cstheme="minorHAnsi"/>
          <w:bCs/>
          <w:i/>
          <w:iCs/>
          <w:color w:val="000000" w:themeColor="text1"/>
        </w:rPr>
        <w:t>approach</w:t>
      </w:r>
      <w:r w:rsidRPr="004B78EF">
        <w:rPr>
          <w:rFonts w:asciiTheme="minorHAnsi" w:hAnsiTheme="minorHAnsi" w:cstheme="minorHAnsi"/>
          <w:bCs/>
          <w:i/>
          <w:iCs/>
          <w:color w:val="000000" w:themeColor="text1"/>
        </w:rPr>
        <w:t>.</w:t>
      </w:r>
    </w:p>
    <w:p w14:paraId="05CC38AE" w14:textId="77777777" w:rsidR="00A041A3" w:rsidRDefault="00A041A3" w:rsidP="00A041A3">
      <w:pPr>
        <w:pStyle w:val="BodyText"/>
        <w:spacing w:line="360" w:lineRule="auto"/>
        <w:rPr>
          <w:rFonts w:asciiTheme="minorHAnsi" w:hAnsiTheme="minorHAnsi" w:cstheme="minorHAnsi"/>
          <w:color w:val="000000" w:themeColor="text1"/>
        </w:rPr>
      </w:pPr>
      <w:r w:rsidRPr="00A463EE">
        <w:t>A group of Bundjalung knowledge holders (N=</w:t>
      </w:r>
      <w:r>
        <w:t>3</w:t>
      </w:r>
      <w:r w:rsidRPr="00A463EE">
        <w:t xml:space="preserve">0) </w:t>
      </w:r>
      <w:r>
        <w:t>participated in two separate workshops grounded in</w:t>
      </w:r>
      <w:r w:rsidRPr="00A463EE">
        <w:t xml:space="preserve"> cultural practice, traversing the cultural site</w:t>
      </w:r>
      <w:r>
        <w:t>s</w:t>
      </w:r>
      <w:r w:rsidRPr="00A463EE">
        <w:t>, and sharing knowledge</w:t>
      </w:r>
      <w:r>
        <w:t xml:space="preserve">. </w:t>
      </w:r>
      <w:r>
        <w:rPr>
          <w:rFonts w:asciiTheme="minorHAnsi" w:hAnsiTheme="minorHAnsi" w:cstheme="minorHAnsi"/>
          <w:color w:val="000000" w:themeColor="text1"/>
        </w:rPr>
        <w:t>We</w:t>
      </w:r>
      <w:r w:rsidRPr="00A463EE">
        <w:rPr>
          <w:rFonts w:asciiTheme="minorHAnsi" w:hAnsiTheme="minorHAnsi" w:cstheme="minorHAnsi"/>
          <w:color w:val="000000" w:themeColor="text1"/>
        </w:rPr>
        <w:t xml:space="preserve"> fast track</w:t>
      </w:r>
      <w:r>
        <w:rPr>
          <w:rFonts w:asciiTheme="minorHAnsi" w:hAnsiTheme="minorHAnsi" w:cstheme="minorHAnsi"/>
          <w:color w:val="000000" w:themeColor="text1"/>
        </w:rPr>
        <w:t>ed</w:t>
      </w:r>
      <w:r w:rsidRPr="00A463EE">
        <w:rPr>
          <w:rFonts w:asciiTheme="minorHAnsi" w:hAnsiTheme="minorHAnsi" w:cstheme="minorHAnsi"/>
          <w:color w:val="000000" w:themeColor="text1"/>
        </w:rPr>
        <w:t xml:space="preserve"> discussions with Bundjalung participants </w:t>
      </w:r>
      <w:r>
        <w:rPr>
          <w:rFonts w:asciiTheme="minorHAnsi" w:hAnsiTheme="minorHAnsi" w:cstheme="minorHAnsi"/>
          <w:color w:val="000000" w:themeColor="text1"/>
        </w:rPr>
        <w:t xml:space="preserve">to focus on management at the </w:t>
      </w:r>
      <w:r w:rsidRPr="00A463EE">
        <w:rPr>
          <w:rFonts w:asciiTheme="minorHAnsi" w:hAnsiTheme="minorHAnsi" w:cstheme="minorHAnsi"/>
          <w:color w:val="000000" w:themeColor="text1"/>
        </w:rPr>
        <w:t xml:space="preserve">place-based </w:t>
      </w:r>
      <w:r>
        <w:rPr>
          <w:rFonts w:asciiTheme="minorHAnsi" w:hAnsiTheme="minorHAnsi" w:cstheme="minorHAnsi"/>
          <w:color w:val="000000" w:themeColor="text1"/>
        </w:rPr>
        <w:t>scale</w:t>
      </w:r>
      <w:r w:rsidRPr="00A463EE">
        <w:rPr>
          <w:rFonts w:asciiTheme="minorHAnsi" w:hAnsiTheme="minorHAnsi" w:cstheme="minorHAnsi"/>
          <w:color w:val="000000" w:themeColor="text1"/>
        </w:rPr>
        <w:t xml:space="preserve"> </w:t>
      </w:r>
      <w:r w:rsidRPr="00026F80">
        <w:fldChar w:fldCharType="begin"/>
      </w:r>
      <w:r>
        <w:instrText xml:space="preserve"> ADDIN ZOTERO_ITEM CSL_CITATION {"citationID":"xSl4MecJ","properties":{"formattedCitation":"\\super 27,31,33\\nosupersub{}","plainCitation":"27,31,33","noteIndex":0},"citationItems":[{"id":209,"uris":["http://zotero.org/users/6363004/items/TKD9ZVFS"],"itemData":{"id":209,"type":"article-journal","abstract":"Achieving global targets for restoring native vegetation cover requires restoration projects to identify and work toward common management objectives. This is made challenging by the different values held by concerned stakeholders, which are not often accounted for. Additionally, restoration is time-dependent and yet there is often little explicit acknowledgment of the time frames required to achieve outcomes. Here, we argue that explicitly incorporating value and time considerations into stated objectives would help to achieve restoration goals. We reviewed the peer-reviewed literature on restoration of terrestrial vegetation and found that while there is guidance on how to identify and account for stakeholder values and time considerations, there is little evidence these are being incorporated into decision-making processes. In this article, we explore how a combination of stakeholder surveys and workshops can be used within a structured decision-making framework to facilitate the integration of diverse stakeholder values and time frame considerations to set restoration objectives. We demonstrate this approach with a case of restoration decision-making at a regional scale (southeast Queensland, Australia) with a view to this experience supporting similar restoration projects elsewhere.","container-title":"Restoration Ecology","DOI":"https://doi.org/10.1111/rec.12591","ISSN":"1526-100X","issue":"6","language":"en","note":"_eprint: https://onlinelibrary.wiley.com/doi/pdf/10.1111/rec.12591","page":"858-865","source":"Wiley Online Library","title":"Using structured decision-making to set restoration objectives when multiple values and preferences exist","volume":"25","author":[{"family":"Guerrero","given":"Angela M."},{"family":"Shoo","given":"Luke"},{"family":"Iacona","given":"Gwenllian"},{"family":"Standish","given":"Rachel J."},{"family":"Catterall","given":"Carla P."},{"family":"Rumpff","given":"Libby"},{"family":"Bie","given":"Kelly","dropping-particle":"de"},{"family":"White","given":"Zoe"},{"family":"Matzek","given":"Virginia"},{"family":"Wilson","given":"Kerrie A."}],"issued":{"date-parts":[["2017"]]}}},{"id":200,"uris":["http://zotero.org/users/6363004/items/9L7BCQUC"],"itemData":{"id":200,"type":"book","abstract":"This book outlines the creative process of making environmental management decisions using the approach called Structured Decision Making. It is a short introductory guide to this popular form of decision making and is aimed at environmental managers and scientists.   This is a distinctly pragmatic label given to ways for helping individuals and groups think through tough multidimensional choices characterized by uncertain science, diverse stakeholders, and difficult tradeoffs. This is the everyday reality of environmental management, yet many important decisions currently are made on an ad hoc basis that lacks a solid value-based foundation, ignores key information, and results in selection of an inferior alternative. Making progress – in a way that is rigorous, inclusive, defensible and transparent – requires combining analytical methods drawn from the decision sciences and applied ecology with deliberative insights from cognitive psychology, facilitation and negotiation.   The authors review key methods and discuss case-study examples based in their experiences in communities, boardrooms, and stakeholder meetings. The goal of this book is to lay out a compelling guide that will change how you think about making environmental decisions. Visit www.wiley.com/go/gregory/sdm to access the figures and tables from the book.","ISBN":"978-1-4443-9853-3","language":"en","note":"Google-Books-ID: bT1_LFuK6LMC","number-of-pages":"315","publisher":"John Wiley &amp; Sons","source":"Google Books","title":"Structured Decision Making: A Practical Guide to Environmental Management Choices","title-short":"Structured Decision Making","author":[{"family":"Gregory","given":"Robin"},{"family":"Failing","given":"Lee"},{"family":"Harstone","given":"Michael"},{"family":"Long","given":"Graham"},{"family":"McDaniels","given":"Tim"},{"family":"Ohlson","given":"Dan"}],"issued":{"date-parts":[["2012",2,17]]}}},{"id":21,"uris":["http://zotero.org/users/6363004/items/B4S3F2YR"],"itemData":{"id":21,"type":"article-journal","container-title":"Risk Analysis","DOI":"10.1111/j.1539-6924.2008.01182.x","ISSN":"02724332, 15396924","issue":"4","language":"en","page":"518-532","source":"DOI.org (Crossref)","title":"Using Structured Decision Making to Help Implement a Precautionary Approach to Endangered Species Management","volume":"29","author":[{"family":"Gregory","given":"Robin"},{"family":"Long","given":"Graham"}],"issued":{"date-parts":[["2009",4]]}}}],"schema":"https://github.com/citation-style-language/schema/raw/master/csl-citation.json"} </w:instrText>
      </w:r>
      <w:r w:rsidRPr="00026F80">
        <w:fldChar w:fldCharType="separate"/>
      </w:r>
      <w:r w:rsidRPr="00700CAD">
        <w:rPr>
          <w:color w:val="000000"/>
          <w:vertAlign w:val="superscript"/>
          <w:lang w:val="en-GB"/>
        </w:rPr>
        <w:t>27,31,33</w:t>
      </w:r>
      <w:r w:rsidRPr="00026F80">
        <w:fldChar w:fldCharType="end"/>
      </w:r>
      <w:r>
        <w:t xml:space="preserve">, </w:t>
      </w:r>
      <w:r>
        <w:rPr>
          <w:rFonts w:asciiTheme="minorHAnsi" w:hAnsiTheme="minorHAnsi" w:cstheme="minorHAnsi"/>
          <w:color w:val="000000" w:themeColor="text1"/>
        </w:rPr>
        <w:t>as</w:t>
      </w:r>
      <w:r w:rsidRPr="00A463EE">
        <w:rPr>
          <w:rFonts w:asciiTheme="minorHAnsi" w:hAnsiTheme="minorHAnsi" w:cstheme="minorHAnsi"/>
          <w:color w:val="000000" w:themeColor="text1"/>
        </w:rPr>
        <w:t xml:space="preserve"> objectives </w:t>
      </w:r>
      <w:r>
        <w:rPr>
          <w:rFonts w:asciiTheme="minorHAnsi" w:hAnsiTheme="minorHAnsi" w:cstheme="minorHAnsi"/>
          <w:color w:val="000000" w:themeColor="text1"/>
        </w:rPr>
        <w:t xml:space="preserve">(Table 1), </w:t>
      </w:r>
      <w:r w:rsidRPr="00A463EE">
        <w:rPr>
          <w:rFonts w:asciiTheme="minorHAnsi" w:hAnsiTheme="minorHAnsi" w:cstheme="minorHAnsi"/>
          <w:color w:val="000000" w:themeColor="text1"/>
        </w:rPr>
        <w:t xml:space="preserve">measures </w:t>
      </w:r>
      <w:r>
        <w:rPr>
          <w:rFonts w:asciiTheme="minorHAnsi" w:hAnsiTheme="minorHAnsi" w:cstheme="minorHAnsi"/>
          <w:color w:val="000000" w:themeColor="text1"/>
        </w:rPr>
        <w:t xml:space="preserve">and </w:t>
      </w:r>
      <w:r w:rsidRPr="00A463EE">
        <w:rPr>
          <w:rFonts w:asciiTheme="minorHAnsi" w:hAnsiTheme="minorHAnsi" w:cstheme="minorHAnsi"/>
          <w:color w:val="000000" w:themeColor="text1"/>
        </w:rPr>
        <w:t xml:space="preserve">Bundjalung-led designated </w:t>
      </w:r>
      <w:r>
        <w:rPr>
          <w:rFonts w:asciiTheme="minorHAnsi" w:hAnsiTheme="minorHAnsi" w:cstheme="minorHAnsi"/>
          <w:color w:val="000000" w:themeColor="text1"/>
        </w:rPr>
        <w:t xml:space="preserve">CSE were established in earlier working groups (Step 3a). These were </w:t>
      </w:r>
      <w:r w:rsidRPr="00A463EE">
        <w:rPr>
          <w:rFonts w:asciiTheme="minorHAnsi" w:hAnsiTheme="minorHAnsi" w:cstheme="minorHAnsi"/>
          <w:color w:val="000000" w:themeColor="text1"/>
        </w:rPr>
        <w:t xml:space="preserve">informed </w:t>
      </w:r>
      <w:r>
        <w:rPr>
          <w:rFonts w:asciiTheme="minorHAnsi" w:hAnsiTheme="minorHAnsi" w:cstheme="minorHAnsi"/>
          <w:color w:val="000000" w:themeColor="text1"/>
        </w:rPr>
        <w:t xml:space="preserve">using </w:t>
      </w:r>
      <w:r w:rsidRPr="00A463EE">
        <w:rPr>
          <w:rFonts w:asciiTheme="minorHAnsi" w:hAnsiTheme="minorHAnsi" w:cstheme="minorHAnsi"/>
          <w:color w:val="000000" w:themeColor="text1"/>
        </w:rPr>
        <w:t xml:space="preserve">the </w:t>
      </w:r>
      <w:r>
        <w:rPr>
          <w:rFonts w:asciiTheme="minorHAnsi" w:hAnsiTheme="minorHAnsi" w:cstheme="minorHAnsi"/>
          <w:color w:val="000000" w:themeColor="text1"/>
        </w:rPr>
        <w:t>s</w:t>
      </w:r>
      <w:r w:rsidRPr="00026F80">
        <w:rPr>
          <w:rFonts w:asciiTheme="minorHAnsi" w:hAnsiTheme="minorHAnsi" w:cstheme="minorHAnsi"/>
          <w:color w:val="000000" w:themeColor="text1"/>
        </w:rPr>
        <w:t xml:space="preserve">tructured </w:t>
      </w:r>
      <w:r>
        <w:rPr>
          <w:rFonts w:asciiTheme="minorHAnsi" w:hAnsiTheme="minorHAnsi" w:cstheme="minorHAnsi"/>
          <w:color w:val="000000" w:themeColor="text1"/>
        </w:rPr>
        <w:t>d</w:t>
      </w:r>
      <w:r w:rsidRPr="00026F80">
        <w:rPr>
          <w:rFonts w:asciiTheme="minorHAnsi" w:hAnsiTheme="minorHAnsi" w:cstheme="minorHAnsi"/>
          <w:color w:val="000000" w:themeColor="text1"/>
        </w:rPr>
        <w:t>ecision-</w:t>
      </w:r>
      <w:r>
        <w:rPr>
          <w:rFonts w:asciiTheme="minorHAnsi" w:hAnsiTheme="minorHAnsi" w:cstheme="minorHAnsi"/>
          <w:color w:val="000000" w:themeColor="text1"/>
        </w:rPr>
        <w:t>m</w:t>
      </w:r>
      <w:r w:rsidRPr="00026F80">
        <w:rPr>
          <w:rFonts w:asciiTheme="minorHAnsi" w:hAnsiTheme="minorHAnsi" w:cstheme="minorHAnsi"/>
          <w:color w:val="000000" w:themeColor="text1"/>
        </w:rPr>
        <w:t xml:space="preserve">aking </w:t>
      </w:r>
      <w:r>
        <w:rPr>
          <w:rFonts w:asciiTheme="minorHAnsi" w:hAnsiTheme="minorHAnsi" w:cstheme="minorHAnsi"/>
          <w:color w:val="000000" w:themeColor="text1"/>
        </w:rPr>
        <w:t>rapid-</w:t>
      </w:r>
      <w:r w:rsidRPr="00A463EE">
        <w:rPr>
          <w:rFonts w:asciiTheme="minorHAnsi" w:hAnsiTheme="minorHAnsi" w:cstheme="minorHAnsi"/>
          <w:color w:val="000000" w:themeColor="text1"/>
        </w:rPr>
        <w:t>prototyping template</w:t>
      </w:r>
      <w:r>
        <w:rPr>
          <w:rFonts w:asciiTheme="minorHAnsi" w:hAnsiTheme="minorHAnsi" w:cstheme="minorHAnsi"/>
          <w:color w:val="000000" w:themeColor="text1"/>
        </w:rPr>
        <w:fldChar w:fldCharType="begin"/>
      </w:r>
      <w:r>
        <w:rPr>
          <w:rFonts w:asciiTheme="minorHAnsi" w:hAnsiTheme="minorHAnsi" w:cstheme="minorHAnsi"/>
          <w:color w:val="000000" w:themeColor="text1"/>
        </w:rPr>
        <w:instrText xml:space="preserve"> ADDIN ZOTERO_ITEM CSL_CITATION {"citationID":"85kmiLeH","properties":{"formattedCitation":"\\super 28\\nosupersub{}","plainCitation":"28","noteIndex":0},"citationItems":[{"id":586,"uris":["http://zotero.org/users/6363004/items/MLLQQSZW"],"itemData":{"id":586,"type":"article-journal","container-title":"Cambridge: Cambridge University Press.","DOI":"10.1017/9781316135938.003","page":"(Conservation Biology, pp. 46-64)","title":"Rapid Prototyping for Decision Structuring: An Efficient Approach to Conservation Decision Analysis. In N. Bunnefeld, E. Nicholson, &amp; E. Milner-Gulland (Eds.), Decision-Making in Conservation and Natural Resource Management: Models for Interdisciplinary Approaches.","author":[{"family":"Garrard","given":"G"},{"family":"Rumpff","given":"L."},{"family":"Runge","given":"M"},{"family":"Converse","given":"S"}],"issued":{"date-parts":[["2017"]]}}}],"schema":"https://github.com/citation-style-language/schema/raw/master/csl-citation.json"} </w:instrText>
      </w:r>
      <w:r>
        <w:rPr>
          <w:rFonts w:asciiTheme="minorHAnsi" w:hAnsiTheme="minorHAnsi" w:cstheme="minorHAnsi"/>
          <w:color w:val="000000" w:themeColor="text1"/>
        </w:rPr>
        <w:fldChar w:fldCharType="separate"/>
      </w:r>
      <w:r w:rsidRPr="00700CAD">
        <w:rPr>
          <w:rFonts w:hAnsiTheme="minorHAnsi"/>
          <w:color w:val="000000"/>
          <w:vertAlign w:val="superscript"/>
          <w:lang w:val="en-GB"/>
        </w:rPr>
        <w:t>28</w:t>
      </w:r>
      <w:r>
        <w:rPr>
          <w:rFonts w:asciiTheme="minorHAnsi" w:hAnsiTheme="minorHAnsi" w:cstheme="minorHAnsi"/>
          <w:color w:val="000000" w:themeColor="text1"/>
        </w:rPr>
        <w:fldChar w:fldCharType="end"/>
      </w:r>
      <w:r w:rsidRPr="00A463EE">
        <w:rPr>
          <w:rFonts w:asciiTheme="minorHAnsi" w:hAnsiTheme="minorHAnsi" w:cstheme="minorHAnsi"/>
          <w:color w:val="000000" w:themeColor="text1"/>
        </w:rPr>
        <w:t xml:space="preserve"> (</w:t>
      </w:r>
      <w:r w:rsidRPr="00790C36">
        <w:rPr>
          <w:rFonts w:asciiTheme="minorHAnsi" w:hAnsiTheme="minorHAnsi" w:cstheme="minorHAnsi"/>
          <w:color w:val="000000" w:themeColor="text1"/>
        </w:rPr>
        <w:t xml:space="preserve">Supplementary Data </w:t>
      </w:r>
      <w:r>
        <w:rPr>
          <w:rFonts w:asciiTheme="minorHAnsi" w:hAnsiTheme="minorHAnsi" w:cstheme="minorHAnsi"/>
          <w:color w:val="000000" w:themeColor="text1"/>
        </w:rPr>
        <w:t>T</w:t>
      </w:r>
      <w:r w:rsidRPr="00790C36">
        <w:rPr>
          <w:rFonts w:asciiTheme="minorHAnsi" w:hAnsiTheme="minorHAnsi" w:cstheme="minorHAnsi"/>
          <w:color w:val="000000" w:themeColor="text1"/>
        </w:rPr>
        <w:t>able</w:t>
      </w:r>
      <w:r>
        <w:rPr>
          <w:rFonts w:asciiTheme="minorHAnsi" w:hAnsiTheme="minorHAnsi" w:cstheme="minorHAnsi"/>
          <w:b/>
          <w:bCs/>
          <w:color w:val="000000" w:themeColor="text1"/>
        </w:rPr>
        <w:t xml:space="preserve"> </w:t>
      </w:r>
      <w:r w:rsidRPr="00790C36">
        <w:rPr>
          <w:rFonts w:asciiTheme="minorHAnsi" w:hAnsiTheme="minorHAnsi" w:cstheme="minorHAnsi"/>
          <w:color w:val="000000" w:themeColor="text1"/>
        </w:rPr>
        <w:t>1</w:t>
      </w:r>
      <w:r w:rsidRPr="00A463EE">
        <w:rPr>
          <w:rFonts w:asciiTheme="minorHAnsi" w:hAnsiTheme="minorHAnsi" w:cstheme="minorHAnsi"/>
          <w:color w:val="000000" w:themeColor="text1"/>
        </w:rPr>
        <w:t>)</w:t>
      </w:r>
      <w:r>
        <w:rPr>
          <w:rFonts w:asciiTheme="minorHAnsi" w:hAnsiTheme="minorHAnsi" w:cstheme="minorHAnsi"/>
          <w:color w:val="000000" w:themeColor="text1"/>
        </w:rPr>
        <w:t>.</w:t>
      </w:r>
      <w:r w:rsidRPr="00A463EE">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Rapid prototyping entails moving through the steps of structured decision-making rapidly, to see whether a decision can be made, and if not, to highlight the key sticking points in the process.  </w:t>
      </w:r>
    </w:p>
    <w:p w14:paraId="06A70D0B" w14:textId="77777777" w:rsidR="00A041A3" w:rsidRDefault="00A041A3" w:rsidP="00A041A3">
      <w:pPr>
        <w:pStyle w:val="BodyText"/>
        <w:spacing w:line="360" w:lineRule="auto"/>
        <w:rPr>
          <w:rFonts w:asciiTheme="minorHAnsi" w:hAnsiTheme="minorHAnsi" w:cstheme="minorHAnsi"/>
          <w:color w:val="000000" w:themeColor="text1"/>
        </w:rPr>
      </w:pPr>
    </w:p>
    <w:p w14:paraId="51AC2611" w14:textId="77777777" w:rsidR="00A041A3" w:rsidRDefault="00A041A3" w:rsidP="00A041A3">
      <w:pPr>
        <w:pStyle w:val="BodyText"/>
        <w:spacing w:line="360" w:lineRule="auto"/>
        <w:rPr>
          <w:rFonts w:asciiTheme="minorHAnsi" w:hAnsiTheme="minorHAnsi" w:cstheme="minorHAnsi"/>
          <w:color w:val="000000" w:themeColor="text1"/>
        </w:rPr>
      </w:pPr>
      <w:r w:rsidRPr="00A463EE">
        <w:t xml:space="preserve">Bundjalung aspirations </w:t>
      </w:r>
      <w:r>
        <w:t>were reaffirmed through identification of</w:t>
      </w:r>
      <w:r w:rsidRPr="00A463EE">
        <w:t xml:space="preserve"> Bundjalung-led management actions to be implemented </w:t>
      </w:r>
      <w:r w:rsidRPr="00A463EE">
        <w:rPr>
          <w:rFonts w:asciiTheme="minorHAnsi" w:hAnsiTheme="minorHAnsi" w:cstheme="minorHAnsi"/>
          <w:color w:val="000000" w:themeColor="text1"/>
        </w:rPr>
        <w:t xml:space="preserve">for </w:t>
      </w:r>
      <w:r>
        <w:rPr>
          <w:rFonts w:asciiTheme="minorHAnsi" w:hAnsiTheme="minorHAnsi" w:cstheme="minorHAnsi"/>
          <w:color w:val="000000" w:themeColor="text1"/>
        </w:rPr>
        <w:t xml:space="preserve">the </w:t>
      </w:r>
      <w:r w:rsidRPr="00A463EE">
        <w:rPr>
          <w:rFonts w:asciiTheme="minorHAnsi" w:hAnsiTheme="minorHAnsi" w:cstheme="minorHAnsi"/>
          <w:color w:val="000000" w:themeColor="text1"/>
        </w:rPr>
        <w:t>CSE (</w:t>
      </w:r>
      <w:r w:rsidRPr="00A463EE">
        <w:rPr>
          <w:rFonts w:asciiTheme="minorHAnsi" w:hAnsiTheme="minorHAnsi" w:cstheme="minorHAnsi"/>
        </w:rPr>
        <w:t xml:space="preserve">Koala, Goanna, Platypus, Echidna, Wedge-tailed Eagle, </w:t>
      </w:r>
      <w:r w:rsidRPr="00A463EE">
        <w:rPr>
          <w:rFonts w:asciiTheme="minorHAnsi" w:hAnsiTheme="minorHAnsi" w:cstheme="minorHAnsi"/>
        </w:rPr>
        <w:lastRenderedPageBreak/>
        <w:t>Coastal Emu, Pipis and Long-necked Turtle)</w:t>
      </w:r>
      <w:r>
        <w:rPr>
          <w:rFonts w:asciiTheme="minorHAnsi" w:hAnsiTheme="minorHAnsi" w:cstheme="minorHAnsi"/>
        </w:rPr>
        <w:t xml:space="preserve">. </w:t>
      </w:r>
      <w:r w:rsidRPr="00A463EE">
        <w:rPr>
          <w:rFonts w:asciiTheme="minorHAnsi" w:hAnsiTheme="minorHAnsi" w:cstheme="minorHAnsi"/>
          <w:color w:val="000000" w:themeColor="text1"/>
        </w:rPr>
        <w:t xml:space="preserve">Common threats </w:t>
      </w:r>
      <w:r>
        <w:rPr>
          <w:rFonts w:asciiTheme="minorHAnsi" w:hAnsiTheme="minorHAnsi" w:cstheme="minorHAnsi"/>
          <w:color w:val="000000" w:themeColor="text1"/>
        </w:rPr>
        <w:t xml:space="preserve">for these species </w:t>
      </w:r>
      <w:r w:rsidRPr="00A463EE">
        <w:rPr>
          <w:rFonts w:asciiTheme="minorHAnsi" w:hAnsiTheme="minorHAnsi" w:cstheme="minorHAnsi"/>
          <w:color w:val="000000" w:themeColor="text1"/>
        </w:rPr>
        <w:t xml:space="preserve">were also identified as part of the discussions, using a continuum of importance Bundjalung mapped key common threats for CSE. </w:t>
      </w:r>
    </w:p>
    <w:p w14:paraId="543D2BCF" w14:textId="77777777" w:rsidR="00A041A3" w:rsidRPr="001A16D7" w:rsidRDefault="00A041A3" w:rsidP="00A041A3">
      <w:pPr>
        <w:pStyle w:val="BodyText"/>
        <w:spacing w:before="147" w:line="360" w:lineRule="auto"/>
        <w:ind w:right="764"/>
        <w:rPr>
          <w:rFonts w:asciiTheme="minorHAnsi" w:hAnsiTheme="minorHAnsi" w:cstheme="minorHAnsi"/>
          <w:b/>
          <w:color w:val="000000" w:themeColor="text1"/>
        </w:rPr>
      </w:pPr>
      <w:r w:rsidRPr="001A16D7">
        <w:rPr>
          <w:rFonts w:asciiTheme="minorHAnsi" w:hAnsiTheme="minorHAnsi" w:cstheme="minorHAnsi"/>
          <w:b/>
          <w:i/>
          <w:iCs/>
          <w:color w:val="000000" w:themeColor="text1"/>
        </w:rPr>
        <w:t>Step</w:t>
      </w:r>
      <w:r>
        <w:rPr>
          <w:rFonts w:asciiTheme="minorHAnsi" w:hAnsiTheme="minorHAnsi" w:cstheme="minorHAnsi"/>
          <w:b/>
          <w:i/>
          <w:iCs/>
          <w:color w:val="000000" w:themeColor="text1"/>
        </w:rPr>
        <w:t xml:space="preserve"> four (b): </w:t>
      </w:r>
      <w:r w:rsidRPr="00A463EE">
        <w:rPr>
          <w:rFonts w:asciiTheme="minorHAnsi" w:hAnsiTheme="minorHAnsi" w:cstheme="minorHAnsi"/>
          <w:bCs/>
          <w:i/>
          <w:iCs/>
          <w:color w:val="000000" w:themeColor="text1"/>
        </w:rPr>
        <w:t>Estimating consequences</w:t>
      </w:r>
      <w:r>
        <w:rPr>
          <w:rFonts w:asciiTheme="minorHAnsi" w:hAnsiTheme="minorHAnsi" w:cstheme="minorHAnsi"/>
          <w:bCs/>
          <w:i/>
          <w:iCs/>
          <w:color w:val="000000" w:themeColor="text1"/>
        </w:rPr>
        <w:t>.</w:t>
      </w:r>
    </w:p>
    <w:p w14:paraId="49C68D40" w14:textId="77777777" w:rsidR="00A041A3" w:rsidRPr="001A16D7" w:rsidRDefault="00A041A3" w:rsidP="00A041A3">
      <w:pPr>
        <w:pStyle w:val="BodyText"/>
        <w:spacing w:before="146" w:line="360" w:lineRule="auto"/>
        <w:ind w:right="777"/>
        <w:rPr>
          <w:rFonts w:asciiTheme="minorHAnsi" w:hAnsiTheme="minorHAnsi" w:cstheme="minorHAnsi"/>
          <w:color w:val="000000" w:themeColor="text1"/>
        </w:rPr>
      </w:pPr>
      <w:r>
        <w:t>Indigenous experts determined management action effectiveness in meeting each objective</w:t>
      </w:r>
      <w:r>
        <w:fldChar w:fldCharType="begin"/>
      </w:r>
      <w:r>
        <w:instrText xml:space="preserve"> ADDIN ZOTERO_ITEM CSL_CITATION {"citationID":"Wsqn2BQZ","properties":{"formattedCitation":"\\super 27\\nosupersub{}","plainCitation":"27","noteIndex":0},"citationItems":[{"id":200,"uris":["http://zotero.org/users/6363004/items/9L7BCQUC"],"itemData":{"id":200,"type":"book","abstract":"This book outlines the creative process of making environmental management decisions using the approach called Structured Decision Making. It is a short introductory guide to this popular form of decision making and is aimed at environmental managers and scientists.   This is a distinctly pragmatic label given to ways for helping individuals and groups think through tough multidimensional choices characterized by uncertain science, diverse stakeholders, and difficult tradeoffs. This is the everyday reality of environmental management, yet many important decisions currently are made on an ad hoc basis that lacks a solid value-based foundation, ignores key information, and results in selection of an inferior alternative. Making progress – in a way that is rigorous, inclusive, defensible and transparent – requires combining analytical methods drawn from the decision sciences and applied ecology with deliberative insights from cognitive psychology, facilitation and negotiation.   The authors review key methods and discuss case-study examples based in their experiences in communities, boardrooms, and stakeholder meetings. The goal of this book is to lay out a compelling guide that will change how you think about making environmental decisions. Visit www.wiley.com/go/gregory/sdm to access the figures and tables from the book.","ISBN":"978-1-4443-9853-3","language":"en","note":"Google-Books-ID: bT1_LFuK6LMC","number-of-pages":"315","publisher":"John Wiley &amp; Sons","source":"Google Books","title":"Structured Decision Making: A Practical Guide to Environmental Management Choices","title-short":"Structured Decision Making","author":[{"family":"Gregory","given":"Robin"},{"family":"Failing","given":"Lee"},{"family":"Harstone","given":"Michael"},{"family":"Long","given":"Graham"},{"family":"McDaniels","given":"Tim"},{"family":"Ohlson","given":"Dan"}],"issued":{"date-parts":[["2012",2,17]]}}}],"schema":"https://github.com/citation-style-language/schema/raw/master/csl-citation.json"} </w:instrText>
      </w:r>
      <w:r>
        <w:fldChar w:fldCharType="separate"/>
      </w:r>
      <w:r w:rsidRPr="00700CAD">
        <w:rPr>
          <w:vertAlign w:val="superscript"/>
          <w:lang w:val="en-GB"/>
        </w:rPr>
        <w:t>27</w:t>
      </w:r>
      <w:r>
        <w:fldChar w:fldCharType="end"/>
      </w:r>
      <w:r>
        <w:t>. In this context, t</w:t>
      </w:r>
      <w:r w:rsidRPr="00196372">
        <w:t xml:space="preserve">he </w:t>
      </w:r>
      <w:r>
        <w:t xml:space="preserve">individual </w:t>
      </w:r>
      <w:r w:rsidRPr="00A463EE">
        <w:rPr>
          <w:rFonts w:asciiTheme="minorHAnsi" w:hAnsiTheme="minorHAnsi" w:cstheme="minorHAnsi"/>
          <w:color w:val="000000" w:themeColor="text1"/>
        </w:rPr>
        <w:t>Jagun</w:t>
      </w:r>
      <w:r w:rsidRPr="00A463EE" w:rsidDel="00877502">
        <w:t xml:space="preserve"> </w:t>
      </w:r>
      <w:r w:rsidRPr="00A463EE">
        <w:t xml:space="preserve">(N=7) practitioners employed their knowledge of implementing traditional management practices under a collaborative management approach, to assess the nominated Bundjalung-led management actions </w:t>
      </w:r>
      <w:r>
        <w:t>identified and described in</w:t>
      </w:r>
      <w:r w:rsidRPr="00A463EE">
        <w:t xml:space="preserve"> </w:t>
      </w:r>
      <w:r w:rsidRPr="009E3E12">
        <w:t>the previous step</w:t>
      </w:r>
      <w:r w:rsidRPr="00566F00">
        <w:t>.</w:t>
      </w:r>
      <w:r w:rsidRPr="00A463EE">
        <w:t xml:space="preserve"> </w:t>
      </w:r>
      <w:r w:rsidRPr="00A463EE">
        <w:rPr>
          <w:rFonts w:asciiTheme="minorHAnsi" w:hAnsiTheme="minorHAnsi" w:cstheme="minorHAnsi"/>
          <w:color w:val="000000" w:themeColor="text1"/>
        </w:rPr>
        <w:t>Jagun</w:t>
      </w:r>
      <w:r>
        <w:rPr>
          <w:rFonts w:asciiTheme="minorHAnsi" w:hAnsiTheme="minorHAnsi" w:cstheme="minorHAnsi"/>
          <w:color w:val="000000" w:themeColor="text1"/>
        </w:rPr>
        <w:t xml:space="preserve"> </w:t>
      </w:r>
      <w:r w:rsidRPr="00A463EE">
        <w:t>Knowledge holders were asked if the Bundjalung-led CSE management actions were implemented</w:t>
      </w:r>
      <w:r>
        <w:t xml:space="preserve"> across the Bundjalung landscape</w:t>
      </w:r>
      <w:r w:rsidRPr="00A463EE">
        <w:t xml:space="preserve">, </w:t>
      </w:r>
      <w:r>
        <w:t>whether</w:t>
      </w:r>
      <w:r w:rsidRPr="00A463EE">
        <w:t xml:space="preserve"> there </w:t>
      </w:r>
      <w:r>
        <w:t xml:space="preserve">would </w:t>
      </w:r>
      <w:r w:rsidRPr="00A463EE">
        <w:t xml:space="preserve">be a notable impact on </w:t>
      </w:r>
      <w:r>
        <w:t xml:space="preserve">the identified </w:t>
      </w:r>
      <w:r w:rsidRPr="00A463EE">
        <w:t>objectives</w:t>
      </w:r>
      <w:r>
        <w:t xml:space="preserve"> (Table 1)</w:t>
      </w:r>
      <w:r w:rsidRPr="00A463EE">
        <w:t xml:space="preserve">. The group developed a </w:t>
      </w:r>
      <w:r>
        <w:t>categorical</w:t>
      </w:r>
      <w:r w:rsidRPr="00A463EE">
        <w:t xml:space="preserve"> ranking score </w:t>
      </w:r>
      <w:r>
        <w:t xml:space="preserve">to measure the impact of management actions on each objective </w:t>
      </w:r>
      <w:r w:rsidRPr="00A463EE">
        <w:t xml:space="preserve">(2 highly likely, 1 likely, 0 unlikely) </w:t>
      </w:r>
      <w:r w:rsidRPr="00A463EE">
        <w:fldChar w:fldCharType="begin"/>
      </w:r>
      <w:r>
        <w:instrText xml:space="preserve"> ADDIN ZOTERO_ITEM CSL_CITATION {"citationID":"Dqw4lLSX","properties":{"formattedCitation":"\\super 1,30,31,34\\nosupersub{}","plainCitation":"1,30,31,34","noteIndex":0},"citationItems":[{"id":182,"uris":["http://zotero.org/users/6363004/items/CW67XNIG"],"itemData":{"id":182,"type":"article-journal","abstract":"The cultural keystone species theory predicts plant species that are culturally important, play a role in resource acquisition, fulfil a psycho-socio-cultural function within a given culture, have high use-value, have an associated naming and terminology in a native language, and a high level of species irreplaceability qualify for cultural keystone species designation. This theory was proposed as a framework for understanding relationships between human societies and species that are integral to their culture. A greater understanding of the dynamic roles of cultural keystones in both ecosystem processes and cultural societies is a foundation for facilitating biocultural conservation. Given such important direct conservation implications of the cultural keystone species theory, we reviewed the use of this theoretical framework across the literature to identify new directions for research. Most studies often emphasized the role of cultural keystones species in human societies but failed to provide a robust and reproducible measure of cultural keystone species status or direct test of the predictions of the theory and underemphasized their potential roles in ecosystem processes. To date, no studies that mentioned cultural keystone species tested the predictions of the theory. Only 4.4% provided a measure for cultural keystone status and 47.4% have cited or applied keystone designation to a given species without providing a reproducible measure for cultural keystone species. Studies that provided a measure for cultural keystone species primarily occurred in North America while few of these studies occurred in Australia and Europe with none occurring in Africa. As such, most cultural keystone species have been designated as such qualitatively based on researcher subjectivity while other studies have designated keystone species with quantitative indices of cultural importance, often incorporating researcher biases or measuring a few of the cultural keystone status predictors rather than all of them, indicating a lack of consensus in identifying cultural keystone species. Thus, we pose the need for a paradigm shift toward the development of serious and systematic approaches for keystone designation.","container-title":"Journal of Ethnobiology and Ethnomedicine","DOI":"10.1186/s13002-020-00422-z","ISSN":"1746-4269","issue":"1","journalAbbreviation":"J Ethnobiology Ethnomedicine","language":"en","page":"70","source":"DOI.org (Crossref)","title":"Cultural keystone species revisited: are we asking the right questions?","title-short":"Cultural keystone species revisited","volume":"16","author":[{"family":"Coe","given":"Michael A."},{"family":"Gaoue","given":"Orou G."}],"issued":{"date-parts":[["2020",12]]}}},{"id":194,"uris":["http://zotero.org/users/6363004/items/3NVP4B5V"],"itemData":{"id":194,"type":"article-journal","abstract":"Climate change is impacting the subsistence livelihoods of many indigenous communities in the Arctic. We describe how structured decision analysis (SDA), informed by traditional ecological knowledge, can be used to understand the mechanisms of how climate change influences subsistence species and their harvest, and to build upon existing adaptive strategies and decision-making processes. In the Iñupiat community of Wainwright, Alaska, we test SDA as a potential framework by which vulnerabilities of subsistence systems can be identified and climate change adaptations can be prioritized. Over the course of five workshops, participants identified issues of concern, assessed the benefits and trade-offs of different strategies to enhance the safety of subsistence activities, identified factors influencing key subsistence species and their accessibility, and assessed the dependence of animals and their harvest on sea ice. Furthermore, we asked workshop participants to assess whether subsistence resources have increased, decreased, or remained stable over the past decade. Declining caribou populations and unsafe ice conditions for hunters were of particular concern in Wainwright. Participants identified high priority safety strategies such as a new docking facility, safety workshops, a hunter meeting place, and search and rescue boats. Because of its coastal location on a lagoon at the mouth of a river, Wainwright has a highly diverse subsistence system that may in part buffer the negative effects of climate change. Furthermore, most species or groups harvested in Wainwright were assessed as stable or increasing. Nevertheless, of the five most important subsistence species in Wainwright, one experienced recent population declines (caribou) and the harvest of three others depends on the presence of thick, reliable shorefast ice. We propose that SDA can be a useful tool to assess the vulnerability of subsistence systems to climate change, and can be used to prioritize strategies to adapt to climate change.","container-title":"Ecology and Society","ISSN":"1708-3087","issue":"4","note":"publisher: Resilience Alliance Inc.","source":"JSTOR","title":"Structured decision analysis informed by traditional ecological knowledge as a tool to strengthen subsistence systems in a changing Arctic","URL":"https://www.jstor.org/stable/26796896","volume":"23","author":[{"family":"Christie","given":"Katherine S."},{"family":"Hollmen","given":"Tuula E."},{"family":"Huntington","given":"Henry P."},{"family":"Lovvorn","given":"James R."}],"accessed":{"date-parts":[["2021",3,23]]},"issued":{"date-parts":[["2018"]]}}},{"id":209,"uris":["http://zotero.org/users/6363004/items/TKD9ZVFS"],"itemData":{"id":209,"type":"article-journal","abstract":"Achieving global targets for restoring native vegetation cover requires restoration projects to identify and work toward common management objectives. This is made challenging by the different values held by concerned stakeholders, which are not often accounted for. Additionally, restoration is time-dependent and yet there is often little explicit acknowledgment of the time frames required to achieve outcomes. Here, we argue that explicitly incorporating value and time considerations into stated objectives would help to achieve restoration goals. We reviewed the peer-reviewed literature on restoration of terrestrial vegetation and found that while there is guidance on how to identify and account for stakeholder values and time considerations, there is little evidence these are being incorporated into decision-making processes. In this article, we explore how a combination of stakeholder surveys and workshops can be used within a structured decision-making framework to facilitate the integration of diverse stakeholder values and time frame considerations to set restoration objectives. We demonstrate this approach with a case of restoration decision-making at a regional scale (southeast Queensland, Australia) with a view to this experience supporting similar restoration projects elsewhere.","container-title":"Restoration Ecology","DOI":"https://doi.org/10.1111/rec.12591","ISSN":"1526-100X","issue":"6","language":"en","note":"_eprint: https://onlinelibrary.wiley.com/doi/pdf/10.1111/rec.12591","page":"858-865","source":"Wiley Online Library","title":"Using structured decision-making to set restoration objectives when multiple values and preferences exist","volume":"25","author":[{"family":"Guerrero","given":"Angela M."},{"family":"Shoo","given":"Luke"},{"family":"Iacona","given":"Gwenllian"},{"family":"Standish","given":"Rachel J."},{"family":"Catterall","given":"Carla P."},{"family":"Rumpff","given":"Libby"},{"family":"Bie","given":"Kelly","dropping-particle":"de"},{"family":"White","given":"Zoe"},{"family":"Matzek","given":"Virginia"},{"family":"Wilson","given":"Kerrie A."}],"issued":{"date-parts":[["2017"]]}}},{"id":559,"uris":["http://zotero.org/users/6363004/items/4NZKZWC2"],"itemData":{"id":559,"type":"book","abstract":"Making decisions about the management and conservation of nature is necessarily complex, with many competing pressures on natural systems, opportunities and benefits for different groups of people and a varying, uncertain social and ecological environment. An approach which is narrowly focused on either human development or environmental protection cannot deliver sustainable solutions. This volume provides frameworks for improving the integration of natural resource management with conservation and supporting stronger collaboration between researchers and practitioners in developed and developing countries. Novel approaches are required when ecological and social dynamics are highly interdependent. A structured, participatory, model-based approach to decision-making for biodiversity conservation has been proven to produce real-world change. There are surprisingly few successful case studies, however; some of the best are presented here, from fisheries, pest management and conservation. Researchers and practitioners need this interdisciplinary approach, focused on quantitative tools that have been tested and applied, and learning from success.","ISBN":"978-1-107-09236-5","language":"en","note":"Google-Books-ID: F9UlDwAAQBAJ","number-of-pages":"291","publisher":"Cambridge University Press","source":"Google Books","title":"Decision-Making in Conservation and Natural Resource Management: Models for Interdisciplinary Approaches","title-short":"Decision-Making in Conservation and Natural Resource Management","author":[{"family":"Bunnefeld","given":"Nils"},{"family":"Nicholson","given":"Emily"},{"family":"Milner-Gulland","given":"E. J."}],"issued":{"date-parts":[["2017",7,6]]}}}],"schema":"https://github.com/citation-style-language/schema/raw/master/csl-citation.json"} </w:instrText>
      </w:r>
      <w:r w:rsidRPr="00A463EE">
        <w:fldChar w:fldCharType="separate"/>
      </w:r>
      <w:r w:rsidRPr="00700CAD">
        <w:rPr>
          <w:vertAlign w:val="superscript"/>
          <w:lang w:val="en-GB"/>
        </w:rPr>
        <w:t>1,30,31,34</w:t>
      </w:r>
      <w:r w:rsidRPr="00A463EE">
        <w:fldChar w:fldCharType="end"/>
      </w:r>
      <w:r>
        <w:t>.</w:t>
      </w:r>
      <w:r w:rsidRPr="00A463EE">
        <w:rPr>
          <w:rFonts w:asciiTheme="minorHAnsi" w:hAnsiTheme="minorHAnsi" w:cstheme="minorHAnsi"/>
          <w:color w:val="000000" w:themeColor="text1"/>
        </w:rPr>
        <w:t xml:space="preserve"> </w:t>
      </w:r>
    </w:p>
    <w:p w14:paraId="61259D0D" w14:textId="77777777" w:rsidR="00A041A3" w:rsidRPr="00196372" w:rsidRDefault="00A041A3" w:rsidP="00A041A3">
      <w:pPr>
        <w:spacing w:line="360" w:lineRule="auto"/>
        <w:rPr>
          <w:sz w:val="24"/>
          <w:szCs w:val="24"/>
        </w:rPr>
      </w:pPr>
    </w:p>
    <w:p w14:paraId="7B06DC87" w14:textId="77777777" w:rsidR="00A041A3" w:rsidRDefault="00A041A3" w:rsidP="00A041A3">
      <w:pPr>
        <w:pStyle w:val="BodyText"/>
        <w:spacing w:before="150" w:line="360" w:lineRule="auto"/>
        <w:ind w:right="910"/>
        <w:jc w:val="both"/>
        <w:rPr>
          <w:rFonts w:asciiTheme="minorHAnsi" w:hAnsiTheme="minorHAnsi" w:cstheme="minorHAnsi"/>
          <w:b/>
          <w:color w:val="000000" w:themeColor="text1"/>
        </w:rPr>
      </w:pPr>
      <w:r w:rsidRPr="00884BD9">
        <w:rPr>
          <w:rFonts w:asciiTheme="minorHAnsi" w:hAnsiTheme="minorHAnsi" w:cstheme="minorHAnsi"/>
          <w:b/>
          <w:i/>
          <w:iCs/>
          <w:color w:val="000000" w:themeColor="text1"/>
        </w:rPr>
        <w:t>Step five</w:t>
      </w:r>
      <w:r>
        <w:rPr>
          <w:rFonts w:asciiTheme="minorHAnsi" w:hAnsiTheme="minorHAnsi" w:cstheme="minorHAnsi"/>
          <w:b/>
          <w:i/>
          <w:iCs/>
          <w:color w:val="000000" w:themeColor="text1"/>
        </w:rPr>
        <w:t xml:space="preserve">: </w:t>
      </w:r>
      <w:r w:rsidRPr="009A7A9C">
        <w:rPr>
          <w:rFonts w:asciiTheme="minorHAnsi" w:hAnsiTheme="minorHAnsi" w:cstheme="minorHAnsi"/>
          <w:bCs/>
          <w:i/>
          <w:iCs/>
          <w:color w:val="000000" w:themeColor="text1"/>
        </w:rPr>
        <w:t>Evaluat</w:t>
      </w:r>
      <w:r>
        <w:rPr>
          <w:rFonts w:asciiTheme="minorHAnsi" w:hAnsiTheme="minorHAnsi" w:cstheme="minorHAnsi"/>
          <w:bCs/>
          <w:i/>
          <w:iCs/>
          <w:color w:val="000000" w:themeColor="text1"/>
        </w:rPr>
        <w:t>ing</w:t>
      </w:r>
      <w:r w:rsidRPr="009A7A9C">
        <w:rPr>
          <w:rFonts w:asciiTheme="minorHAnsi" w:hAnsiTheme="minorHAnsi" w:cstheme="minorHAnsi"/>
          <w:bCs/>
          <w:i/>
          <w:iCs/>
          <w:color w:val="000000" w:themeColor="text1"/>
        </w:rPr>
        <w:t xml:space="preserve"> trade-offs</w:t>
      </w:r>
      <w:r>
        <w:rPr>
          <w:rFonts w:asciiTheme="minorHAnsi" w:hAnsiTheme="minorHAnsi" w:cstheme="minorHAnsi"/>
          <w:bCs/>
          <w:i/>
          <w:iCs/>
          <w:color w:val="000000" w:themeColor="text1"/>
        </w:rPr>
        <w:t>.</w:t>
      </w:r>
    </w:p>
    <w:p w14:paraId="51471AF5" w14:textId="77777777" w:rsidR="00A041A3" w:rsidRDefault="00A041A3" w:rsidP="00A041A3">
      <w:pPr>
        <w:spacing w:line="360" w:lineRule="auto"/>
        <w:rPr>
          <w:sz w:val="24"/>
          <w:szCs w:val="24"/>
        </w:rPr>
      </w:pPr>
      <w:r>
        <w:rPr>
          <w:sz w:val="24"/>
          <w:szCs w:val="24"/>
        </w:rPr>
        <w:t xml:space="preserve">As all identified CSE were prioritized by the survey participants and all </w:t>
      </w:r>
      <w:r w:rsidRPr="00A463EE">
        <w:rPr>
          <w:sz w:val="24"/>
          <w:szCs w:val="24"/>
        </w:rPr>
        <w:t xml:space="preserve">four </w:t>
      </w:r>
      <w:r>
        <w:rPr>
          <w:sz w:val="24"/>
          <w:szCs w:val="24"/>
        </w:rPr>
        <w:t>Bundjalung-led</w:t>
      </w:r>
      <w:r w:rsidRPr="00A463EE">
        <w:rPr>
          <w:sz w:val="24"/>
          <w:szCs w:val="24"/>
        </w:rPr>
        <w:t xml:space="preserve"> management actions were </w:t>
      </w:r>
      <w:r>
        <w:rPr>
          <w:sz w:val="24"/>
          <w:szCs w:val="24"/>
        </w:rPr>
        <w:t xml:space="preserve">accepted by the participants, </w:t>
      </w:r>
      <w:r w:rsidRPr="00A463EE">
        <w:rPr>
          <w:sz w:val="24"/>
          <w:szCs w:val="24"/>
        </w:rPr>
        <w:t>decisions about trade-offs were not required</w:t>
      </w:r>
      <w:r>
        <w:rPr>
          <w:sz w:val="24"/>
          <w:szCs w:val="24"/>
        </w:rPr>
        <w:t xml:space="preserve">. </w:t>
      </w:r>
    </w:p>
    <w:p w14:paraId="2FE202D8" w14:textId="77777777" w:rsidR="00A041A3" w:rsidRPr="006375BF" w:rsidRDefault="00A041A3" w:rsidP="00A041A3">
      <w:pPr>
        <w:pStyle w:val="BodyText"/>
        <w:spacing w:before="150" w:line="360" w:lineRule="auto"/>
        <w:ind w:left="100" w:right="910"/>
        <w:jc w:val="both"/>
        <w:rPr>
          <w:rFonts w:asciiTheme="minorHAnsi" w:hAnsiTheme="minorHAnsi" w:cstheme="minorHAnsi"/>
          <w:color w:val="000000" w:themeColor="text1"/>
        </w:rPr>
      </w:pPr>
    </w:p>
    <w:p w14:paraId="0C93EA25" w14:textId="77777777" w:rsidR="00A041A3" w:rsidRDefault="00A041A3" w:rsidP="00A041A3">
      <w:pPr>
        <w:pStyle w:val="BodyText"/>
        <w:spacing w:line="360" w:lineRule="auto"/>
        <w:ind w:right="1056"/>
        <w:rPr>
          <w:rFonts w:asciiTheme="minorHAnsi" w:hAnsiTheme="minorHAnsi" w:cstheme="minorHAnsi"/>
          <w:color w:val="000000" w:themeColor="text1"/>
        </w:rPr>
      </w:pPr>
      <w:r w:rsidRPr="00884BD9">
        <w:rPr>
          <w:rFonts w:asciiTheme="minorHAnsi" w:hAnsiTheme="minorHAnsi" w:cstheme="minorHAnsi"/>
          <w:b/>
          <w:i/>
          <w:iCs/>
          <w:color w:val="000000" w:themeColor="text1"/>
        </w:rPr>
        <w:t>Step six</w:t>
      </w:r>
      <w:r>
        <w:rPr>
          <w:rFonts w:asciiTheme="minorHAnsi" w:hAnsiTheme="minorHAnsi" w:cstheme="minorHAnsi"/>
          <w:b/>
          <w:i/>
          <w:iCs/>
          <w:color w:val="000000" w:themeColor="text1"/>
        </w:rPr>
        <w:t>:</w:t>
      </w:r>
      <w:r w:rsidRPr="00884BD9">
        <w:rPr>
          <w:rFonts w:asciiTheme="minorHAnsi" w:hAnsiTheme="minorHAnsi" w:cstheme="minorHAnsi"/>
          <w:b/>
          <w:i/>
          <w:iCs/>
          <w:color w:val="000000" w:themeColor="text1"/>
        </w:rPr>
        <w:t xml:space="preserve"> </w:t>
      </w:r>
      <w:r>
        <w:rPr>
          <w:rFonts w:asciiTheme="minorHAnsi" w:hAnsiTheme="minorHAnsi" w:cstheme="minorHAnsi"/>
          <w:b/>
          <w:i/>
          <w:iCs/>
          <w:color w:val="000000" w:themeColor="text1"/>
        </w:rPr>
        <w:t xml:space="preserve">Implementation, monitoring and </w:t>
      </w:r>
      <w:r>
        <w:rPr>
          <w:rFonts w:asciiTheme="minorHAnsi" w:hAnsiTheme="minorHAnsi" w:cstheme="minorHAnsi"/>
          <w:bCs/>
          <w:i/>
          <w:iCs/>
          <w:color w:val="000000" w:themeColor="text1"/>
        </w:rPr>
        <w:t>c</w:t>
      </w:r>
      <w:r w:rsidRPr="00C91C11">
        <w:rPr>
          <w:rFonts w:asciiTheme="minorHAnsi" w:hAnsiTheme="minorHAnsi" w:cstheme="minorHAnsi"/>
          <w:bCs/>
          <w:i/>
          <w:iCs/>
          <w:color w:val="000000" w:themeColor="text1"/>
        </w:rPr>
        <w:t>ommunication of findings</w:t>
      </w:r>
    </w:p>
    <w:p w14:paraId="218A4078" w14:textId="77777777" w:rsidR="00A041A3" w:rsidRDefault="00A041A3" w:rsidP="00A041A3">
      <w:pPr>
        <w:spacing w:line="360" w:lineRule="auto"/>
        <w:rPr>
          <w:sz w:val="24"/>
          <w:szCs w:val="24"/>
        </w:rPr>
      </w:pPr>
      <w:r>
        <w:rPr>
          <w:sz w:val="24"/>
          <w:szCs w:val="24"/>
        </w:rPr>
        <w:t>L</w:t>
      </w:r>
      <w:r w:rsidRPr="00A463EE">
        <w:rPr>
          <w:sz w:val="24"/>
          <w:szCs w:val="24"/>
        </w:rPr>
        <w:t xml:space="preserve">ocal Bundjalung leadership and governments </w:t>
      </w:r>
      <w:r>
        <w:rPr>
          <w:sz w:val="24"/>
          <w:szCs w:val="24"/>
        </w:rPr>
        <w:t>will lead ongoing implementation, monitoring and reporting of outcomes</w:t>
      </w:r>
      <w:r w:rsidRPr="00A463EE">
        <w:rPr>
          <w:sz w:val="24"/>
          <w:szCs w:val="24"/>
        </w:rPr>
        <w:t xml:space="preserve">. </w:t>
      </w:r>
      <w:r>
        <w:rPr>
          <w:sz w:val="24"/>
          <w:szCs w:val="24"/>
        </w:rPr>
        <w:t>W</w:t>
      </w:r>
      <w:r w:rsidRPr="00A463EE">
        <w:rPr>
          <w:sz w:val="24"/>
          <w:szCs w:val="24"/>
        </w:rPr>
        <w:t>e investigated how the Bundjalung-led management actions could be integrated with national recovery plans for threatened species, using the Koala</w:t>
      </w:r>
      <w:r w:rsidRPr="005959A1">
        <w:rPr>
          <w:sz w:val="24"/>
          <w:szCs w:val="24"/>
        </w:rPr>
        <w:t xml:space="preserve"> </w:t>
      </w:r>
      <w:r w:rsidRPr="00A463EE">
        <w:rPr>
          <w:sz w:val="24"/>
          <w:szCs w:val="24"/>
        </w:rPr>
        <w:t xml:space="preserve">as a case study, which </w:t>
      </w:r>
      <w:r>
        <w:rPr>
          <w:sz w:val="24"/>
          <w:szCs w:val="24"/>
        </w:rPr>
        <w:t xml:space="preserve">is a </w:t>
      </w:r>
      <w:r w:rsidRPr="00A463EE">
        <w:rPr>
          <w:sz w:val="24"/>
          <w:szCs w:val="24"/>
        </w:rPr>
        <w:t xml:space="preserve">Bundjalung designated CSE. Bundjalung participants discussed the potential opportunities and barriers </w:t>
      </w:r>
      <w:r>
        <w:rPr>
          <w:sz w:val="24"/>
          <w:szCs w:val="24"/>
        </w:rPr>
        <w:t>to</w:t>
      </w:r>
      <w:r w:rsidRPr="00A463EE">
        <w:rPr>
          <w:sz w:val="24"/>
          <w:szCs w:val="24"/>
        </w:rPr>
        <w:t xml:space="preserve"> implementation </w:t>
      </w:r>
      <w:r>
        <w:rPr>
          <w:sz w:val="24"/>
          <w:szCs w:val="24"/>
        </w:rPr>
        <w:t xml:space="preserve">of actions </w:t>
      </w:r>
      <w:r w:rsidRPr="00A463EE">
        <w:rPr>
          <w:sz w:val="24"/>
          <w:szCs w:val="24"/>
        </w:rPr>
        <w:t>under a collaborative management approach.</w:t>
      </w:r>
    </w:p>
    <w:p w14:paraId="4FD809D1" w14:textId="77777777" w:rsidR="00A041A3" w:rsidRDefault="00A041A3" w:rsidP="00A041A3">
      <w:pPr>
        <w:spacing w:line="360" w:lineRule="auto"/>
        <w:rPr>
          <w:sz w:val="24"/>
          <w:szCs w:val="24"/>
        </w:rPr>
      </w:pPr>
    </w:p>
    <w:p w14:paraId="2DFD890B" w14:textId="77777777" w:rsidR="00A041A3" w:rsidRDefault="00A041A3" w:rsidP="00A041A3">
      <w:pPr>
        <w:spacing w:line="360" w:lineRule="auto"/>
        <w:rPr>
          <w:sz w:val="24"/>
          <w:szCs w:val="24"/>
        </w:rPr>
      </w:pPr>
      <w:r w:rsidRPr="00196372">
        <w:rPr>
          <w:sz w:val="24"/>
          <w:szCs w:val="24"/>
        </w:rPr>
        <w:t xml:space="preserve">At the request of the Bundjalung community, JAAC hosted a gathering with workshop </w:t>
      </w:r>
      <w:r w:rsidRPr="00196372">
        <w:rPr>
          <w:sz w:val="24"/>
          <w:szCs w:val="24"/>
        </w:rPr>
        <w:lastRenderedPageBreak/>
        <w:t xml:space="preserve">participants and the wider community </w:t>
      </w:r>
      <w:r>
        <w:rPr>
          <w:sz w:val="24"/>
          <w:szCs w:val="24"/>
        </w:rPr>
        <w:t xml:space="preserve">(N=55) </w:t>
      </w:r>
      <w:r w:rsidRPr="00196372">
        <w:rPr>
          <w:sz w:val="24"/>
          <w:szCs w:val="24"/>
        </w:rPr>
        <w:t>to share findings of the CSE evaluation. A closed meeting ensured that culturally sensitive information was protected. Equally important, the gathering provided an opportunity for the community to heal over a shared vision for their Country.</w:t>
      </w:r>
    </w:p>
    <w:p w14:paraId="727F36F8" w14:textId="77777777" w:rsidR="00A041A3" w:rsidRPr="00A463EE" w:rsidRDefault="00A041A3" w:rsidP="00A041A3">
      <w:pPr>
        <w:spacing w:line="360" w:lineRule="auto"/>
        <w:rPr>
          <w:rFonts w:asciiTheme="minorHAnsi" w:hAnsiTheme="minorHAnsi" w:cstheme="minorHAnsi"/>
          <w:color w:val="000000" w:themeColor="text1"/>
          <w:sz w:val="24"/>
          <w:szCs w:val="24"/>
        </w:rPr>
      </w:pPr>
    </w:p>
    <w:p w14:paraId="156CCF58" w14:textId="77777777" w:rsidR="00A041A3" w:rsidRPr="00A463EE" w:rsidRDefault="00A041A3" w:rsidP="00A041A3">
      <w:pPr>
        <w:spacing w:line="360" w:lineRule="auto"/>
        <w:rPr>
          <w:rFonts w:asciiTheme="minorHAnsi" w:hAnsiTheme="minorHAnsi" w:cstheme="minorHAnsi"/>
          <w:color w:val="000000" w:themeColor="text1"/>
          <w:sz w:val="24"/>
          <w:szCs w:val="24"/>
        </w:rPr>
      </w:pPr>
    </w:p>
    <w:p w14:paraId="212549E4" w14:textId="77777777" w:rsidR="00831A5D" w:rsidRDefault="00831A5D"/>
    <w:sectPr w:rsidR="00831A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Std-Book">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A3"/>
    <w:rsid w:val="00831A5D"/>
    <w:rsid w:val="00A04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0541A"/>
  <w15:chartTrackingRefBased/>
  <w15:docId w15:val="{3CDA74D6-3BB7-468A-A6BC-D0FA5273F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1A3"/>
    <w:pPr>
      <w:widowControl w:val="0"/>
      <w:autoSpaceDE w:val="0"/>
      <w:autoSpaceDN w:val="0"/>
      <w:spacing w:after="0" w:line="240" w:lineRule="auto"/>
    </w:pPr>
    <w:rPr>
      <w:rFonts w:ascii="Calibri" w:eastAsia="Calibri" w:hAnsi="Calibri" w:cs="Calibri"/>
      <w:kern w:val="0"/>
      <w14:ligatures w14:val="none"/>
    </w:rPr>
  </w:style>
  <w:style w:type="paragraph" w:styleId="Heading2">
    <w:name w:val="heading 2"/>
    <w:basedOn w:val="Normal"/>
    <w:link w:val="Heading2Char"/>
    <w:uiPriority w:val="9"/>
    <w:unhideWhenUsed/>
    <w:qFormat/>
    <w:rsid w:val="00A041A3"/>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41A3"/>
    <w:rPr>
      <w:rFonts w:ascii="Calibri" w:eastAsia="Calibri" w:hAnsi="Calibri" w:cs="Calibri"/>
      <w:b/>
      <w:bCs/>
      <w:kern w:val="0"/>
      <w:sz w:val="24"/>
      <w:szCs w:val="24"/>
      <w14:ligatures w14:val="none"/>
    </w:rPr>
  </w:style>
  <w:style w:type="paragraph" w:styleId="BodyText">
    <w:name w:val="Body Text"/>
    <w:basedOn w:val="Normal"/>
    <w:link w:val="BodyTextChar"/>
    <w:uiPriority w:val="1"/>
    <w:qFormat/>
    <w:rsid w:val="00A041A3"/>
    <w:rPr>
      <w:sz w:val="24"/>
      <w:szCs w:val="24"/>
    </w:rPr>
  </w:style>
  <w:style w:type="character" w:customStyle="1" w:styleId="BodyTextChar">
    <w:name w:val="Body Text Char"/>
    <w:basedOn w:val="DefaultParagraphFont"/>
    <w:link w:val="BodyText"/>
    <w:uiPriority w:val="1"/>
    <w:rsid w:val="00A041A3"/>
    <w:rPr>
      <w:rFonts w:ascii="Calibri" w:eastAsia="Calibri" w:hAnsi="Calibri" w:cs="Calibri"/>
      <w:kern w:val="0"/>
      <w:sz w:val="24"/>
      <w:szCs w:val="24"/>
      <w14:ligatures w14:val="none"/>
    </w:rPr>
  </w:style>
  <w:style w:type="paragraph" w:styleId="NormalWeb">
    <w:name w:val="Normal (Web)"/>
    <w:basedOn w:val="Normal"/>
    <w:uiPriority w:val="99"/>
    <w:unhideWhenUsed/>
    <w:rsid w:val="00A041A3"/>
    <w:pPr>
      <w:widowControl/>
      <w:autoSpaceDE/>
      <w:autoSpaceDN/>
      <w:spacing w:before="100" w:beforeAutospacing="1" w:after="100" w:afterAutospacing="1"/>
    </w:pPr>
    <w:rPr>
      <w:rFonts w:ascii="Times New Roman" w:eastAsia="Times New Roman" w:hAnsi="Times New Roman" w:cs="Times New Roman"/>
      <w:sz w:val="24"/>
      <w:szCs w:val="24"/>
      <w:lang w:val="en-AU"/>
    </w:rPr>
  </w:style>
  <w:style w:type="table" w:styleId="TableGrid">
    <w:name w:val="Table Grid"/>
    <w:basedOn w:val="TableNormal"/>
    <w:uiPriority w:val="39"/>
    <w:rsid w:val="00A041A3"/>
    <w:pPr>
      <w:spacing w:after="0" w:line="240" w:lineRule="auto"/>
    </w:pPr>
    <w:rPr>
      <w:kern w:val="0"/>
      <w:sz w:val="24"/>
      <w:szCs w:val="24"/>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12176</Words>
  <Characters>69407</Characters>
  <Application>Microsoft Office Word</Application>
  <DocSecurity>0</DocSecurity>
  <Lines>578</Lines>
  <Paragraphs>162</Paragraphs>
  <ScaleCrop>false</ScaleCrop>
  <Company>SpringerNature</Company>
  <LinksUpToDate>false</LinksUpToDate>
  <CharactersWithSpaces>81421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2024-01-19T10:54:00Z</dcterms:created>
  <dcterms:modified xsi:type="dcterms:W3CDTF">2024-01-19T10:54:00Z</dcterms:modified>
</cp:coreProperties>
</file>