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cs="Times New Roman"/>
          <w:sz w:val="21"/>
          <w:szCs w:val="21"/>
        </w:rPr>
      </w:pPr>
    </w:p>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Processing of onion samples</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Firstly, the onion root tissue was cut into 1cm and the bulb into 1×1cm2 pieces, then it was cleaned by the following methods: sterile water immersion for 2 min; alcohol immersion for 2 min; NaClO immersion for 2 min; alcohol immersion for 1 min; 2 sterile water immersions for 30s, and the sterile water from the last wash was collected to coat the plates, no bacterial growth was found. Finally, the cleaned onion samples were lyophilised, and milled into a powder in and aseptic environment.</w:t>
      </w:r>
    </w:p>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kern w:val="0"/>
          <w:sz w:val="21"/>
          <w:szCs w:val="21"/>
          <w:lang w:val="en-US" w:eastAsia="zh-CN" w:bidi="ar"/>
        </w:rPr>
      </w:pPr>
    </w:p>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Methods for analysing macrogenomic data</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The comprehensive profiles of antibiotic resistome were determined by an ARG analysis pipeline (ARGs-OAP, v2.0) based on the generated clean sequences (ARGs-OAP: online analysis pipeline for antibiotic resistance genes detection from metagenomic data using an integrated structured ARG-database). Briefly, the prescreened ARG-like reads via UBLAST were identified against the Structured Antibiotic Resistance Genes database (SARG, v2.2) using BLASTX with the default parameters (e-value ≤ 10-7, sequence identity ≥ 80 %, and alignment length ≥ 25 amino acids). ARG types and subtypes were assigned by a package of customized perl scripts(https://github.com/biofuture/Ublastx_stageone).To compare ARG abundance among samples, we normalized it using 16S rRNA gene data. A previous study has thoroughly described the calculation method(</w:t>
      </w:r>
      <w:r>
        <w:rPr>
          <w:rFonts w:hint="default" w:ascii="Times New Roman" w:hAnsi="Times New Roman" w:eastAsia="宋体" w:cs="Times New Roman"/>
          <w:color w:val="000000"/>
          <w:kern w:val="0"/>
          <w:sz w:val="21"/>
          <w:szCs w:val="21"/>
          <w:lang w:bidi="ar"/>
        </w:rPr>
        <w:t>ARGs-OAP: online analysis pipeline for antibiotic resistance genes detection from metagenomic data using an integrated structured ARG-database</w:t>
      </w:r>
      <w:r>
        <w:rPr>
          <w:rFonts w:hint="default" w:ascii="Times New Roman" w:hAnsi="Times New Roman" w:eastAsia="宋体" w:cs="Times New Roman"/>
          <w:color w:val="000000"/>
          <w:kern w:val="0"/>
          <w:sz w:val="21"/>
          <w:szCs w:val="21"/>
          <w:lang w:val="en-US" w:eastAsia="zh-CN" w:bidi="ar"/>
        </w:rPr>
        <w:t>). Soil microbial community analysis based on metagenomic data reads was conducted using Kraken2 for species annotation.</w:t>
      </w:r>
      <w:r>
        <w:rPr>
          <w:rFonts w:hint="eastAsia" w:ascii="Times New Roman" w:hAnsi="Times New Roman" w:eastAsia="宋体" w:cs="Times New Roman"/>
          <w:color w:val="000000"/>
          <w:kern w:val="0"/>
          <w:sz w:val="21"/>
          <w:szCs w:val="21"/>
          <w:lang w:val="en-US" w:eastAsia="zh-CN" w:bidi="ar"/>
        </w:rPr>
        <w:t xml:space="preserve"> Methods of analysis in supplementary materials</w:t>
      </w:r>
    </w:p>
    <w:p>
      <w:pPr>
        <w:keepNext w:val="0"/>
        <w:keepLines w:val="0"/>
        <w:pageBreakBefore w:val="0"/>
        <w:widowControl w:val="0"/>
        <w:kinsoku/>
        <w:wordWrap/>
        <w:overflowPunct/>
        <w:topLinePunct w:val="0"/>
        <w:autoSpaceDE/>
        <w:autoSpaceDN/>
        <w:bidi w:val="0"/>
        <w:adjustRightInd/>
        <w:snapToGrid/>
        <w:jc w:val="left"/>
        <w:textAlignment w:val="auto"/>
        <w:rPr>
          <w:rFonts w:hint="default" w:ascii="Times New Roman" w:hAnsi="Times New Roman" w:eastAsia="宋体" w:cs="Times New Roman"/>
          <w:color w:val="000000"/>
          <w:kern w:val="0"/>
          <w:sz w:val="21"/>
          <w:szCs w:val="21"/>
          <w:lang w:val="en-US" w:eastAsia="zh-CN" w:bidi="ar"/>
        </w:rPr>
      </w:pPr>
    </w:p>
    <w:p>
      <w:pPr>
        <w:keepNext w:val="0"/>
        <w:keepLines w:val="0"/>
        <w:pageBreakBefore w:val="0"/>
        <w:widowControl w:val="0"/>
        <w:kinsoku/>
        <w:wordWrap/>
        <w:overflowPunct/>
        <w:topLinePunct w:val="0"/>
        <w:autoSpaceDE/>
        <w:autoSpaceDN/>
        <w:bidi w:val="0"/>
        <w:adjustRightInd/>
        <w:snapToGrid/>
        <w:jc w:val="left"/>
        <w:textAlignment w:val="auto"/>
        <w:rPr>
          <w:rFonts w:hint="default" w:ascii="Times New Roman" w:hAnsi="Times New Roman" w:eastAsia="宋体" w:cs="Times New Roman"/>
          <w:color w:val="000000"/>
          <w:kern w:val="0"/>
          <w:sz w:val="21"/>
          <w:szCs w:val="21"/>
          <w:lang w:val="en-US" w:eastAsia="zh-CN" w:bidi="ar"/>
        </w:rPr>
      </w:pPr>
    </w:p>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16S rRNA gene sequencing</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The PCR primers were 799</w:t>
      </w:r>
      <w:r>
        <w:rPr>
          <w:rFonts w:hint="default" w:ascii="Times New Roman" w:hAnsi="Times New Roman" w:eastAsia="宋体" w:cs="Times New Roman"/>
          <w:color w:val="000000"/>
          <w:kern w:val="0"/>
          <w:sz w:val="21"/>
          <w:szCs w:val="21"/>
          <w:lang w:bidi="ar"/>
        </w:rPr>
        <w:t>F</w:t>
      </w:r>
      <w:r>
        <w:rPr>
          <w:rFonts w:hint="default" w:ascii="Times New Roman" w:hAnsi="Times New Roman" w:eastAsia="宋体" w:cs="Times New Roman"/>
          <w:color w:val="000000"/>
          <w:kern w:val="0"/>
          <w:sz w:val="21"/>
          <w:szCs w:val="21"/>
          <w:lang w:val="en-US" w:eastAsia="zh-CN" w:bidi="ar"/>
        </w:rPr>
        <w:t xml:space="preserve"> (</w:t>
      </w:r>
      <w:r>
        <w:rPr>
          <w:rFonts w:hint="default" w:ascii="Times New Roman" w:hAnsi="Times New Roman" w:eastAsia="宋体" w:cs="Times New Roman"/>
          <w:color w:val="000000"/>
          <w:kern w:val="0"/>
          <w:sz w:val="21"/>
          <w:szCs w:val="21"/>
          <w:lang w:bidi="ar"/>
        </w:rPr>
        <w:t>AACMGGATTAGATACCCKG</w:t>
      </w:r>
      <w:r>
        <w:rPr>
          <w:rFonts w:hint="default" w:ascii="Times New Roman" w:hAnsi="Times New Roman" w:eastAsia="宋体" w:cs="Times New Roman"/>
          <w:color w:val="000000"/>
          <w:kern w:val="0"/>
          <w:sz w:val="21"/>
          <w:szCs w:val="21"/>
          <w:lang w:val="en-US" w:eastAsia="zh-CN" w:bidi="ar"/>
        </w:rPr>
        <w:t>) and reverse primer 1193</w:t>
      </w:r>
      <w:r>
        <w:rPr>
          <w:rFonts w:hint="default" w:ascii="Times New Roman" w:hAnsi="Times New Roman" w:eastAsia="宋体" w:cs="Times New Roman"/>
          <w:color w:val="000000"/>
          <w:kern w:val="0"/>
          <w:sz w:val="21"/>
          <w:szCs w:val="21"/>
          <w:lang w:bidi="ar"/>
        </w:rPr>
        <w:t xml:space="preserve"> R</w:t>
      </w:r>
      <w:r>
        <w:rPr>
          <w:rFonts w:hint="default" w:ascii="Times New Roman" w:hAnsi="Times New Roman" w:eastAsia="宋体" w:cs="Times New Roman"/>
          <w:color w:val="000000"/>
          <w:kern w:val="0"/>
          <w:sz w:val="21"/>
          <w:szCs w:val="21"/>
          <w:lang w:val="en-US" w:eastAsia="zh-CN" w:bidi="ar"/>
        </w:rPr>
        <w:t xml:space="preserve"> (</w:t>
      </w:r>
      <w:r>
        <w:rPr>
          <w:rFonts w:hint="default" w:ascii="Times New Roman" w:hAnsi="Times New Roman" w:eastAsia="宋体" w:cs="Times New Roman"/>
          <w:color w:val="000000"/>
          <w:kern w:val="0"/>
          <w:sz w:val="21"/>
          <w:szCs w:val="21"/>
          <w:lang w:bidi="ar"/>
        </w:rPr>
        <w:t>ACGTCATCCCCACCTTCC</w:t>
      </w:r>
      <w:r>
        <w:rPr>
          <w:rFonts w:hint="default" w:ascii="Times New Roman" w:hAnsi="Times New Roman" w:eastAsia="宋体" w:cs="Times New Roman"/>
          <w:color w:val="000000"/>
          <w:kern w:val="0"/>
          <w:sz w:val="21"/>
          <w:szCs w:val="21"/>
          <w:lang w:val="en-US" w:eastAsia="zh-CN" w:bidi="ar"/>
        </w:rPr>
        <w:t>). After that, UPARSE.28 was used in a quality control process on the raw data. Quantitative Insights Into Microbial Ecology (QIIME) software was used to process and evaluate the obtained high-quality sequences, and the UPARSE pipeline examined the sequences.With default options and the UPARSE pipeline, we assigned a taxonomy with 97% similarity to RDP for Illumina processing in QIIME</w:t>
      </w:r>
      <w:r>
        <w:rPr>
          <w:rFonts w:hint="eastAsia" w:ascii="Times New Roman" w:hAnsi="Times New Roman" w:eastAsia="宋体" w:cs="Times New Roman"/>
          <w:color w:val="000000"/>
          <w:kern w:val="0"/>
          <w:sz w:val="21"/>
          <w:szCs w:val="21"/>
          <w:lang w:val="en-US" w:eastAsia="zh-CN" w:bidi="ar"/>
        </w:rPr>
        <w:t>.</w:t>
      </w:r>
    </w:p>
    <w:p>
      <w:pPr>
        <w:keepNext w:val="0"/>
        <w:keepLines w:val="0"/>
        <w:pageBreakBefore w:val="0"/>
        <w:widowControl w:val="0"/>
        <w:kinsoku/>
        <w:wordWrap/>
        <w:overflowPunct/>
        <w:topLinePunct w:val="0"/>
        <w:autoSpaceDE/>
        <w:autoSpaceDN/>
        <w:bidi w:val="0"/>
        <w:adjustRightInd/>
        <w:snapToGrid/>
        <w:jc w:val="left"/>
        <w:textAlignment w:val="auto"/>
        <w:rPr>
          <w:rFonts w:hint="default" w:ascii="Times New Roman" w:hAnsi="Times New Roman" w:eastAsia="宋体" w:cs="Times New Roman"/>
          <w:color w:val="000000"/>
          <w:kern w:val="0"/>
          <w:sz w:val="21"/>
          <w:szCs w:val="21"/>
          <w:lang w:val="en-US" w:eastAsia="zh-CN" w:bidi="ar"/>
        </w:rPr>
      </w:pPr>
    </w:p>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Isolation and screening of ARBs from onion bulbs</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Wash onion bulbs in the same manner as for the DNA pre-treatment of onion samples. The cleaned onion bulbs were ground into a homogenate under liquid nitrogen and diluted 10-fold with PBS buffer. 100 μL of the dilution was evenly spread on R2A medium supplemented with three antibiotics, Ampicillin (15 μg/mL), Roxithromycin (48 μg/mL), and Gentamicin (15 μg/mL), and incubated for 3 days. Single bacteria were selected for isolation culture and purified three times.</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宋体" w:cs="Times New Roman"/>
          <w:color w:val="000000"/>
          <w:kern w:val="0"/>
          <w:sz w:val="21"/>
          <w:szCs w:val="21"/>
          <w:lang w:val="en-US" w:eastAsia="zh-CN" w:bidi="ar"/>
        </w:rPr>
      </w:pPr>
    </w:p>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Chromatographic conditions</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Mobile phase A was 1% acetic acid solution by volume, and mobile phase B was acetonitrile solution containing 1% acetic acid by volume. Elution procedure: 0-5 min, 5%-8% B; 5-7 min, 8%-12% B; 7-12 min, 12%-18% B; 12.00-17.00 min, 18%-22% B; 17-19 min, 22%-35% B; 19-21 min, 35%-100% B; 21-25 min, 100% B; 25-27 min, 100%-5% B. Flow rate: 1.0 mL/sec. 27 min, 100%-5% B. Flow rate: 1.0 mL/min; column temperature: 25 ℃; detection wavelength: 280 nm; wavelength scanning range: 200-900 nm; injection volume: 2 μL. ESI parameter settings: anion mode, nebuliser pressure of 35 psi; desiccant flow rate of 10 L/min; desiccant temperature 325 ℃; collision-induced dissociation (collision-induced dissociation</w:t>
      </w:r>
      <w:r>
        <w:rPr>
          <w:rFonts w:hint="eastAsia" w:ascii="Times New Roman" w:hAnsi="Times New Roman" w:eastAsia="宋体" w:cs="Times New Roman"/>
          <w:color w:val="000000"/>
          <w:kern w:val="0"/>
          <w:sz w:val="21"/>
          <w:szCs w:val="21"/>
          <w:lang w:val="en-US" w:eastAsia="zh-CN" w:bidi="ar"/>
        </w:rPr>
        <w:t xml:space="preserve">, </w:t>
      </w:r>
      <w:r>
        <w:rPr>
          <w:rFonts w:hint="default" w:ascii="Times New Roman" w:hAnsi="Times New Roman" w:eastAsia="宋体" w:cs="Times New Roman"/>
          <w:color w:val="000000"/>
          <w:kern w:val="0"/>
          <w:sz w:val="21"/>
          <w:szCs w:val="21"/>
          <w:lang w:val="en-US" w:eastAsia="zh-CN" w:bidi="ar"/>
        </w:rPr>
        <w:t>CID) MS/MS induced collision voltage was 1.00 V; the ion scanning range was 100-1 500 m/z.</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宋体" w:cs="Times New Roman"/>
          <w:color w:val="000000"/>
          <w:kern w:val="0"/>
          <w:sz w:val="21"/>
          <w:szCs w:val="21"/>
          <w:lang w:val="en-US" w:eastAsia="zh-CN" w:bidi="ar"/>
        </w:rPr>
      </w:pPr>
    </w:p>
    <w:p>
      <w:pPr>
        <w:jc w:val="center"/>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sz w:val="21"/>
          <w:szCs w:val="21"/>
          <w:vertAlign w:val="baseline"/>
        </w:rPr>
        <w:t xml:space="preserve">Table S1 The basic physicochemical characteristics of the soil (dry matter content) and the </w:t>
      </w:r>
      <w:r>
        <w:rPr>
          <w:rFonts w:hint="default" w:ascii="Times New Roman" w:hAnsi="Times New Roman" w:cs="Times New Roman"/>
          <w:sz w:val="21"/>
          <w:szCs w:val="21"/>
          <w:vertAlign w:val="baseline"/>
          <w:lang w:val="en-US" w:eastAsia="zh-CN"/>
        </w:rPr>
        <w:t>organic fertilizer</w:t>
      </w:r>
    </w:p>
    <w:tbl>
      <w:tblPr>
        <w:tblStyle w:val="4"/>
        <w:tblW w:w="0" w:type="auto"/>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008"/>
        <w:gridCol w:w="1980"/>
        <w:gridCol w:w="2219"/>
        <w:gridCol w:w="2083"/>
      </w:tblGrid>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1" w:hRule="atLeast"/>
          <w:jc w:val="center"/>
        </w:trPr>
        <w:tc>
          <w:tcPr>
            <w:tcW w:w="2008" w:type="dxa"/>
            <w:tcBorders>
              <w:bottom w:val="single" w:color="auto" w:sz="8" w:space="0"/>
            </w:tcBorders>
            <w:vAlign w:val="center"/>
          </w:tcPr>
          <w:p>
            <w:pPr>
              <w:jc w:val="center"/>
              <w:rPr>
                <w:rFonts w:hint="default" w:ascii="Times New Roman" w:hAnsi="Times New Roman" w:cs="Times New Roman"/>
                <w:sz w:val="21"/>
                <w:szCs w:val="21"/>
                <w:vertAlign w:val="baseline"/>
              </w:rPr>
            </w:pPr>
          </w:p>
        </w:tc>
        <w:tc>
          <w:tcPr>
            <w:tcW w:w="1980" w:type="dxa"/>
            <w:tcBorders>
              <w:bottom w:val="single" w:color="auto" w:sz="8" w:space="0"/>
            </w:tcBorders>
            <w:vAlign w:val="center"/>
          </w:tcPr>
          <w:p>
            <w:pPr>
              <w:jc w:val="center"/>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sz w:val="21"/>
                <w:szCs w:val="21"/>
                <w:vertAlign w:val="baseline"/>
                <w:lang w:val="en-US" w:eastAsia="zh-CN"/>
              </w:rPr>
              <w:t>Soil</w:t>
            </w:r>
          </w:p>
        </w:tc>
        <w:tc>
          <w:tcPr>
            <w:tcW w:w="2219" w:type="dxa"/>
            <w:tcBorders>
              <w:bottom w:val="single" w:color="auto" w:sz="8" w:space="0"/>
            </w:tcBorders>
            <w:vAlign w:val="center"/>
          </w:tcPr>
          <w:p>
            <w:pPr>
              <w:jc w:val="center"/>
              <w:rPr>
                <w:rFonts w:hint="default" w:ascii="Times New Roman" w:hAnsi="Times New Roman" w:cs="Times New Roman"/>
                <w:sz w:val="21"/>
                <w:szCs w:val="21"/>
                <w:vertAlign w:val="baseline"/>
              </w:rPr>
            </w:pPr>
            <w:r>
              <w:rPr>
                <w:rFonts w:hint="default" w:ascii="Times New Roman" w:hAnsi="Times New Roman" w:eastAsia="宋体" w:cs="Times New Roman"/>
                <w:color w:val="000000"/>
                <w:kern w:val="0"/>
                <w:sz w:val="21"/>
                <w:szCs w:val="21"/>
                <w:lang w:val="en-US" w:eastAsia="zh-CN" w:bidi="ar"/>
              </w:rPr>
              <w:t>Pig manure organic fertilizer</w:t>
            </w:r>
          </w:p>
        </w:tc>
        <w:tc>
          <w:tcPr>
            <w:tcW w:w="2083" w:type="dxa"/>
            <w:tcBorders>
              <w:bottom w:val="single" w:color="auto" w:sz="8" w:space="0"/>
            </w:tcBorders>
            <w:vAlign w:val="center"/>
          </w:tcPr>
          <w:p>
            <w:pPr>
              <w:jc w:val="center"/>
              <w:rPr>
                <w:rFonts w:hint="default" w:ascii="Times New Roman" w:hAnsi="Times New Roman" w:cs="Times New Roman"/>
                <w:sz w:val="21"/>
                <w:szCs w:val="21"/>
                <w:vertAlign w:val="baseline"/>
              </w:rPr>
            </w:pPr>
            <w:r>
              <w:rPr>
                <w:rFonts w:hint="default" w:ascii="Times New Roman" w:hAnsi="Times New Roman" w:eastAsia="宋体" w:cs="Times New Roman"/>
                <w:color w:val="000000"/>
                <w:kern w:val="0"/>
                <w:sz w:val="21"/>
                <w:szCs w:val="21"/>
                <w:lang w:val="en-US" w:eastAsia="zh-CN" w:bidi="ar"/>
              </w:rPr>
              <w:t>Sheep manure organic fertilizer</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4" w:hRule="atLeast"/>
          <w:jc w:val="center"/>
        </w:trPr>
        <w:tc>
          <w:tcPr>
            <w:tcW w:w="2008" w:type="dxa"/>
            <w:tcBorders>
              <w:top w:val="single" w:color="auto" w:sz="8" w:space="0"/>
              <w:tl2br w:val="nil"/>
              <w:tr2bl w:val="nil"/>
            </w:tcBorders>
            <w:vAlign w:val="center"/>
          </w:tcPr>
          <w:p>
            <w:pPr>
              <w:jc w:val="center"/>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sz w:val="21"/>
                <w:szCs w:val="21"/>
                <w:vertAlign w:val="baseline"/>
                <w:lang w:val="en-US" w:eastAsia="zh-CN"/>
              </w:rPr>
              <w:t>pH</w:t>
            </w:r>
          </w:p>
        </w:tc>
        <w:tc>
          <w:tcPr>
            <w:tcW w:w="1980" w:type="dxa"/>
            <w:tcBorders>
              <w:top w:val="single" w:color="auto" w:sz="8" w:space="0"/>
              <w:tl2br w:val="nil"/>
              <w:tr2bl w:val="nil"/>
            </w:tcBorders>
            <w:vAlign w:val="center"/>
          </w:tcPr>
          <w:p>
            <w:pPr>
              <w:jc w:val="center"/>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sz w:val="21"/>
                <w:szCs w:val="21"/>
                <w:vertAlign w:val="baseline"/>
                <w:lang w:val="en-US" w:eastAsia="zh-CN"/>
              </w:rPr>
              <w:t>8.14±0.34</w:t>
            </w:r>
          </w:p>
        </w:tc>
        <w:tc>
          <w:tcPr>
            <w:tcW w:w="2219" w:type="dxa"/>
            <w:tcBorders>
              <w:top w:val="single" w:color="auto" w:sz="8" w:space="0"/>
              <w:tl2br w:val="nil"/>
              <w:tr2bl w:val="nil"/>
            </w:tcBorders>
            <w:vAlign w:val="center"/>
          </w:tcPr>
          <w:p>
            <w:pPr>
              <w:jc w:val="center"/>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sz w:val="21"/>
                <w:szCs w:val="21"/>
                <w:vertAlign w:val="baseline"/>
                <w:lang w:val="en-US" w:eastAsia="zh-CN"/>
              </w:rPr>
              <w:t>7.63±0.37</w:t>
            </w:r>
          </w:p>
        </w:tc>
        <w:tc>
          <w:tcPr>
            <w:tcW w:w="2083" w:type="dxa"/>
            <w:tcBorders>
              <w:top w:val="single" w:color="auto" w:sz="8" w:space="0"/>
              <w:tl2br w:val="nil"/>
              <w:tr2bl w:val="nil"/>
            </w:tcBorders>
            <w:vAlign w:val="center"/>
          </w:tcPr>
          <w:p>
            <w:pPr>
              <w:jc w:val="center"/>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sz w:val="21"/>
                <w:szCs w:val="21"/>
                <w:vertAlign w:val="baseline"/>
                <w:lang w:val="en-US" w:eastAsia="zh-CN"/>
              </w:rPr>
              <w:t>7.94±0.23</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4" w:hRule="atLeast"/>
          <w:jc w:val="center"/>
        </w:trPr>
        <w:tc>
          <w:tcPr>
            <w:tcW w:w="2008" w:type="dxa"/>
            <w:tcBorders>
              <w:tl2br w:val="nil"/>
              <w:tr2bl w:val="nil"/>
            </w:tcBorders>
            <w:vAlign w:val="center"/>
          </w:tcPr>
          <w:p>
            <w:pPr>
              <w:jc w:val="center"/>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sz w:val="21"/>
                <w:szCs w:val="21"/>
                <w:vertAlign w:val="baseline"/>
                <w:lang w:val="en-US" w:eastAsia="zh-CN"/>
              </w:rPr>
              <w:t>O</w:t>
            </w:r>
            <w:r>
              <w:rPr>
                <w:rFonts w:hint="default" w:ascii="Times New Roman" w:hAnsi="Times New Roman" w:cs="Times New Roman" w:eastAsiaTheme="minorEastAsia"/>
                <w:sz w:val="21"/>
                <w:szCs w:val="21"/>
                <w:vertAlign w:val="baseline"/>
                <w:lang w:val="en-US" w:eastAsia="zh-CN"/>
              </w:rPr>
              <w:t>rganic Matter</w:t>
            </w:r>
          </w:p>
        </w:tc>
        <w:tc>
          <w:tcPr>
            <w:tcW w:w="1980" w:type="dxa"/>
            <w:tcBorders>
              <w:tl2br w:val="nil"/>
              <w:tr2bl w:val="nil"/>
            </w:tcBorders>
            <w:vAlign w:val="center"/>
          </w:tcPr>
          <w:p>
            <w:pPr>
              <w:jc w:val="center"/>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sz w:val="21"/>
                <w:szCs w:val="21"/>
                <w:vertAlign w:val="baseline"/>
                <w:lang w:val="en-US" w:eastAsia="zh-CN"/>
              </w:rPr>
              <w:t>16.92±1.80 g/kg</w:t>
            </w:r>
          </w:p>
        </w:tc>
        <w:tc>
          <w:tcPr>
            <w:tcW w:w="2219" w:type="dxa"/>
            <w:tcBorders>
              <w:tl2br w:val="nil"/>
              <w:tr2bl w:val="nil"/>
            </w:tcBorders>
            <w:vAlign w:val="center"/>
          </w:tcPr>
          <w:p>
            <w:pPr>
              <w:jc w:val="center"/>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sz w:val="21"/>
                <w:szCs w:val="21"/>
                <w:vertAlign w:val="baseline"/>
                <w:lang w:val="en-US" w:eastAsia="zh-CN"/>
              </w:rPr>
              <w:t>381.38±48.36 g/kg</w:t>
            </w:r>
          </w:p>
        </w:tc>
        <w:tc>
          <w:tcPr>
            <w:tcW w:w="2083" w:type="dxa"/>
            <w:tcBorders>
              <w:tl2br w:val="nil"/>
              <w:tr2bl w:val="nil"/>
            </w:tcBorders>
            <w:vAlign w:val="center"/>
          </w:tcPr>
          <w:p>
            <w:pPr>
              <w:jc w:val="center"/>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sz w:val="21"/>
                <w:szCs w:val="21"/>
                <w:vertAlign w:val="baseline"/>
                <w:lang w:val="en-US" w:eastAsia="zh-CN"/>
              </w:rPr>
              <w:t>412.29±47.33g/kg</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0" w:hRule="atLeast"/>
          <w:jc w:val="center"/>
        </w:trPr>
        <w:tc>
          <w:tcPr>
            <w:tcW w:w="2008" w:type="dxa"/>
            <w:tcBorders>
              <w:tl2br w:val="nil"/>
              <w:tr2bl w:val="nil"/>
            </w:tcBorders>
            <w:vAlign w:val="center"/>
          </w:tcPr>
          <w:p>
            <w:pPr>
              <w:jc w:val="center"/>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sz w:val="21"/>
                <w:szCs w:val="21"/>
                <w:vertAlign w:val="baseline"/>
                <w:lang w:val="en-US" w:eastAsia="zh-CN"/>
              </w:rPr>
              <w:t>A</w:t>
            </w:r>
            <w:r>
              <w:rPr>
                <w:rFonts w:hint="default" w:ascii="Times New Roman" w:hAnsi="Times New Roman" w:cs="Times New Roman" w:eastAsiaTheme="minorEastAsia"/>
                <w:sz w:val="21"/>
                <w:szCs w:val="21"/>
                <w:vertAlign w:val="baseline"/>
                <w:lang w:val="en-US" w:eastAsia="zh-CN"/>
              </w:rPr>
              <w:t>vailable Phosphorus</w:t>
            </w:r>
          </w:p>
        </w:tc>
        <w:tc>
          <w:tcPr>
            <w:tcW w:w="1980" w:type="dxa"/>
            <w:tcBorders>
              <w:tl2br w:val="nil"/>
              <w:tr2bl w:val="nil"/>
            </w:tcBorders>
            <w:vAlign w:val="center"/>
          </w:tcPr>
          <w:p>
            <w:pPr>
              <w:jc w:val="center"/>
              <w:rPr>
                <w:rFonts w:hint="default" w:ascii="Times New Roman" w:hAnsi="Times New Roman" w:cs="Times New Roman"/>
                <w:sz w:val="21"/>
                <w:szCs w:val="21"/>
                <w:vertAlign w:val="baseline"/>
              </w:rPr>
            </w:pPr>
            <w:r>
              <w:rPr>
                <w:rFonts w:hint="default" w:ascii="Times New Roman" w:hAnsi="Times New Roman" w:cs="Times New Roman"/>
                <w:sz w:val="21"/>
                <w:szCs w:val="21"/>
                <w:vertAlign w:val="baseline"/>
                <w:lang w:val="en-US" w:eastAsia="zh-CN"/>
              </w:rPr>
              <w:t>10.08±1.29 mg/kg</w:t>
            </w:r>
          </w:p>
        </w:tc>
        <w:tc>
          <w:tcPr>
            <w:tcW w:w="2219" w:type="dxa"/>
            <w:tcBorders>
              <w:tl2br w:val="nil"/>
              <w:tr2bl w:val="nil"/>
            </w:tcBorders>
            <w:vAlign w:val="center"/>
          </w:tcPr>
          <w:p>
            <w:pPr>
              <w:jc w:val="center"/>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sz w:val="21"/>
                <w:szCs w:val="21"/>
                <w:vertAlign w:val="baseline"/>
                <w:lang w:val="en-US" w:eastAsia="zh-CN"/>
              </w:rPr>
              <w:t>2.09±0.23 g/kg</w:t>
            </w:r>
          </w:p>
        </w:tc>
        <w:tc>
          <w:tcPr>
            <w:tcW w:w="2083" w:type="dxa"/>
            <w:tcBorders>
              <w:tl2br w:val="nil"/>
              <w:tr2bl w:val="nil"/>
            </w:tcBorders>
            <w:vAlign w:val="center"/>
          </w:tcPr>
          <w:p>
            <w:pPr>
              <w:jc w:val="center"/>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sz w:val="21"/>
                <w:szCs w:val="21"/>
                <w:vertAlign w:val="baseline"/>
                <w:lang w:val="en-US" w:eastAsia="zh-CN"/>
              </w:rPr>
              <w:t>1.78±0.38 g/kg</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0" w:hRule="atLeast"/>
          <w:jc w:val="center"/>
        </w:trPr>
        <w:tc>
          <w:tcPr>
            <w:tcW w:w="2008"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Available potassium</w:t>
            </w:r>
          </w:p>
        </w:tc>
        <w:tc>
          <w:tcPr>
            <w:tcW w:w="1980" w:type="dxa"/>
            <w:tcBorders>
              <w:tl2br w:val="nil"/>
              <w:tr2bl w:val="nil"/>
            </w:tcBorders>
            <w:vAlign w:val="center"/>
          </w:tcPr>
          <w:p>
            <w:pPr>
              <w:jc w:val="center"/>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sz w:val="21"/>
                <w:szCs w:val="21"/>
                <w:vertAlign w:val="baseline"/>
                <w:lang w:val="en-US" w:eastAsia="zh-CN"/>
              </w:rPr>
              <w:t>168.52±24.71 mg/kg</w:t>
            </w:r>
          </w:p>
        </w:tc>
        <w:tc>
          <w:tcPr>
            <w:tcW w:w="2219" w:type="dxa"/>
            <w:tcBorders>
              <w:tl2br w:val="nil"/>
              <w:tr2bl w:val="nil"/>
            </w:tcBorders>
            <w:vAlign w:val="center"/>
          </w:tcPr>
          <w:p>
            <w:pPr>
              <w:jc w:val="center"/>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sz w:val="21"/>
                <w:szCs w:val="21"/>
                <w:vertAlign w:val="baseline"/>
                <w:lang w:val="en-US" w:eastAsia="zh-CN"/>
              </w:rPr>
              <w:t>8.21±1.73 g/kg</w:t>
            </w:r>
          </w:p>
        </w:tc>
        <w:tc>
          <w:tcPr>
            <w:tcW w:w="2083" w:type="dxa"/>
            <w:tcBorders>
              <w:tl2br w:val="nil"/>
              <w:tr2bl w:val="nil"/>
            </w:tcBorders>
            <w:vAlign w:val="center"/>
          </w:tcPr>
          <w:p>
            <w:pPr>
              <w:jc w:val="center"/>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sz w:val="21"/>
                <w:szCs w:val="21"/>
                <w:vertAlign w:val="baseline"/>
                <w:lang w:val="en-US" w:eastAsia="zh-CN"/>
              </w:rPr>
              <w:t>6.55±1.01 g/kg</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0" w:hRule="atLeast"/>
          <w:jc w:val="center"/>
        </w:trPr>
        <w:tc>
          <w:tcPr>
            <w:tcW w:w="2008"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Total Nitrogen</w:t>
            </w:r>
          </w:p>
        </w:tc>
        <w:tc>
          <w:tcPr>
            <w:tcW w:w="1980" w:type="dxa"/>
            <w:tcBorders>
              <w:tl2br w:val="nil"/>
              <w:tr2bl w:val="nil"/>
            </w:tcBorders>
            <w:vAlign w:val="center"/>
          </w:tcPr>
          <w:p>
            <w:pPr>
              <w:jc w:val="center"/>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sz w:val="21"/>
                <w:szCs w:val="21"/>
                <w:vertAlign w:val="baseline"/>
                <w:lang w:val="en-US" w:eastAsia="zh-CN"/>
              </w:rPr>
              <w:t>0.83±0.22 g/kg</w:t>
            </w:r>
          </w:p>
        </w:tc>
        <w:tc>
          <w:tcPr>
            <w:tcW w:w="2219" w:type="dxa"/>
            <w:tcBorders>
              <w:tl2br w:val="nil"/>
              <w:tr2bl w:val="nil"/>
            </w:tcBorders>
            <w:vAlign w:val="center"/>
          </w:tcPr>
          <w:p>
            <w:pPr>
              <w:jc w:val="center"/>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sz w:val="21"/>
                <w:szCs w:val="21"/>
                <w:vertAlign w:val="baseline"/>
                <w:lang w:val="en-US" w:eastAsia="zh-CN"/>
              </w:rPr>
              <w:t>19.86±0.65 g/kg</w:t>
            </w:r>
          </w:p>
        </w:tc>
        <w:tc>
          <w:tcPr>
            <w:tcW w:w="2083" w:type="dxa"/>
            <w:tcBorders>
              <w:tl2br w:val="nil"/>
              <w:tr2bl w:val="nil"/>
            </w:tcBorders>
            <w:vAlign w:val="center"/>
          </w:tcPr>
          <w:p>
            <w:pPr>
              <w:jc w:val="center"/>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sz w:val="21"/>
                <w:szCs w:val="21"/>
                <w:vertAlign w:val="baseline"/>
                <w:lang w:val="en-US" w:eastAsia="zh-CN"/>
              </w:rPr>
              <w:t>20.30±0.48 g/kg</w:t>
            </w:r>
          </w:p>
        </w:tc>
      </w:tr>
    </w:tbl>
    <w:p>
      <w:pPr>
        <w:rPr>
          <w:rFonts w:hint="eastAsia" w:ascii="Times New Roman" w:hAnsi="Times New Roman" w:cs="Times New Roman" w:eastAsiaTheme="minorEastAsia"/>
          <w:sz w:val="21"/>
          <w:szCs w:val="21"/>
          <w:lang w:val="en-US" w:eastAsia="zh-CN"/>
        </w:rPr>
      </w:pPr>
      <w:r>
        <w:rPr>
          <w:rFonts w:hint="default" w:ascii="Times New Roman" w:hAnsi="Times New Roman" w:cs="Times New Roman"/>
          <w:sz w:val="21"/>
          <w:szCs w:val="21"/>
        </w:rPr>
        <w:t>Values are presented as mean ± S</w:t>
      </w:r>
      <w:r>
        <w:rPr>
          <w:rFonts w:hint="eastAsia" w:ascii="Times New Roman" w:hAnsi="Times New Roman" w:cs="Times New Roman"/>
          <w:sz w:val="21"/>
          <w:szCs w:val="21"/>
          <w:lang w:val="en-US" w:eastAsia="zh-CN"/>
        </w:rPr>
        <w:t>D</w:t>
      </w:r>
      <w:r>
        <w:rPr>
          <w:rFonts w:hint="default" w:ascii="Times New Roman" w:hAnsi="Times New Roman" w:cs="Times New Roman"/>
          <w:sz w:val="21"/>
          <w:szCs w:val="21"/>
        </w:rPr>
        <w:t xml:space="preserve"> (n = </w:t>
      </w:r>
      <w:r>
        <w:rPr>
          <w:rFonts w:hint="eastAsia" w:ascii="Times New Roman" w:hAnsi="Times New Roman" w:cs="Times New Roman"/>
          <w:sz w:val="21"/>
          <w:szCs w:val="21"/>
          <w:lang w:val="en-US" w:eastAsia="zh-CN"/>
        </w:rPr>
        <w:t>5</w:t>
      </w:r>
      <w:r>
        <w:rPr>
          <w:rFonts w:hint="default" w:ascii="Times New Roman" w:hAnsi="Times New Roman" w:cs="Times New Roman"/>
          <w:sz w:val="21"/>
          <w:szCs w:val="21"/>
        </w:rPr>
        <w:t>)</w:t>
      </w:r>
      <w:r>
        <w:rPr>
          <w:rFonts w:hint="eastAsia" w:ascii="Times New Roman" w:hAnsi="Times New Roman" w:cs="Times New Roman"/>
          <w:sz w:val="21"/>
          <w:szCs w:val="21"/>
          <w:lang w:val="en-US" w:eastAsia="zh-CN"/>
        </w:rPr>
        <w:t>.</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宋体" w:cs="Times New Roman"/>
          <w:color w:val="000000"/>
          <w:kern w:val="0"/>
          <w:sz w:val="21"/>
          <w:szCs w:val="21"/>
          <w:lang w:val="en-US" w:eastAsia="zh-CN" w:bidi="ar"/>
        </w:rPr>
      </w:pPr>
      <w:bookmarkStart w:id="0" w:name="_GoBack"/>
      <w:bookmarkEnd w:id="0"/>
    </w:p>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Table. S2. The peak area of 29 phenolic root exudates</w:t>
      </w:r>
    </w:p>
    <w:tbl>
      <w:tblPr>
        <w:tblStyle w:val="4"/>
        <w:tblW w:w="0" w:type="auto"/>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259"/>
        <w:gridCol w:w="807"/>
        <w:gridCol w:w="807"/>
        <w:gridCol w:w="807"/>
        <w:gridCol w:w="807"/>
        <w:gridCol w:w="807"/>
        <w:gridCol w:w="807"/>
        <w:gridCol w:w="807"/>
        <w:gridCol w:w="807"/>
        <w:gridCol w:w="807"/>
      </w:tblGrid>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219" w:type="dxa"/>
            <w:tcBorders>
              <w:bottom w:val="single" w:color="auto" w:sz="8" w:space="0"/>
            </w:tcBorders>
            <w:vAlign w:val="center"/>
          </w:tcPr>
          <w:p>
            <w:pPr>
              <w:jc w:val="center"/>
              <w:rPr>
                <w:rFonts w:hint="default" w:ascii="Times New Roman" w:hAnsi="Times New Roman" w:cs="Times New Roman"/>
                <w:sz w:val="21"/>
                <w:szCs w:val="21"/>
                <w:vertAlign w:val="baseline"/>
              </w:rPr>
            </w:pPr>
          </w:p>
        </w:tc>
        <w:tc>
          <w:tcPr>
            <w:tcW w:w="811" w:type="dxa"/>
            <w:tcBorders>
              <w:bottom w:val="single" w:color="auto" w:sz="8" w:space="0"/>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CK1</w:t>
            </w:r>
          </w:p>
        </w:tc>
        <w:tc>
          <w:tcPr>
            <w:tcW w:w="811" w:type="dxa"/>
            <w:tcBorders>
              <w:bottom w:val="single" w:color="auto" w:sz="8" w:space="0"/>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CK2</w:t>
            </w:r>
          </w:p>
        </w:tc>
        <w:tc>
          <w:tcPr>
            <w:tcW w:w="811" w:type="dxa"/>
            <w:tcBorders>
              <w:bottom w:val="single" w:color="auto" w:sz="8" w:space="0"/>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CK3</w:t>
            </w:r>
          </w:p>
        </w:tc>
        <w:tc>
          <w:tcPr>
            <w:tcW w:w="811" w:type="dxa"/>
            <w:tcBorders>
              <w:bottom w:val="single" w:color="auto" w:sz="8" w:space="0"/>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P1</w:t>
            </w:r>
          </w:p>
        </w:tc>
        <w:tc>
          <w:tcPr>
            <w:tcW w:w="811" w:type="dxa"/>
            <w:tcBorders>
              <w:bottom w:val="single" w:color="auto" w:sz="8" w:space="0"/>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P2</w:t>
            </w:r>
          </w:p>
        </w:tc>
        <w:tc>
          <w:tcPr>
            <w:tcW w:w="812" w:type="dxa"/>
            <w:tcBorders>
              <w:bottom w:val="single" w:color="auto" w:sz="8" w:space="0"/>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P3</w:t>
            </w:r>
          </w:p>
        </w:tc>
        <w:tc>
          <w:tcPr>
            <w:tcW w:w="812" w:type="dxa"/>
            <w:tcBorders>
              <w:bottom w:val="single" w:color="auto" w:sz="8" w:space="0"/>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S1</w:t>
            </w:r>
          </w:p>
        </w:tc>
        <w:tc>
          <w:tcPr>
            <w:tcW w:w="812" w:type="dxa"/>
            <w:tcBorders>
              <w:bottom w:val="single" w:color="auto" w:sz="8" w:space="0"/>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S2</w:t>
            </w:r>
          </w:p>
        </w:tc>
        <w:tc>
          <w:tcPr>
            <w:tcW w:w="812" w:type="dxa"/>
            <w:tcBorders>
              <w:bottom w:val="single" w:color="auto" w:sz="8" w:space="0"/>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S3</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219" w:type="dxa"/>
            <w:tcBorders>
              <w:top w:val="single" w:color="auto" w:sz="8" w:space="0"/>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333333"/>
                <w:kern w:val="0"/>
                <w:sz w:val="21"/>
                <w:szCs w:val="21"/>
                <w:u w:val="none"/>
                <w:lang w:val="en-US" w:eastAsia="zh-CN" w:bidi="ar"/>
              </w:rPr>
              <w:t>Gallic Acid</w:t>
            </w:r>
          </w:p>
        </w:tc>
        <w:tc>
          <w:tcPr>
            <w:tcW w:w="811" w:type="dxa"/>
            <w:tcBorders>
              <w:top w:val="single" w:color="auto" w:sz="8" w:space="0"/>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41890000</w:t>
            </w:r>
          </w:p>
        </w:tc>
        <w:tc>
          <w:tcPr>
            <w:tcW w:w="811" w:type="dxa"/>
            <w:tcBorders>
              <w:top w:val="single" w:color="auto" w:sz="8" w:space="0"/>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11580000</w:t>
            </w:r>
          </w:p>
        </w:tc>
        <w:tc>
          <w:tcPr>
            <w:tcW w:w="811" w:type="dxa"/>
            <w:tcBorders>
              <w:top w:val="single" w:color="auto" w:sz="8" w:space="0"/>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10930000</w:t>
            </w:r>
          </w:p>
        </w:tc>
        <w:tc>
          <w:tcPr>
            <w:tcW w:w="811" w:type="dxa"/>
            <w:tcBorders>
              <w:top w:val="single" w:color="auto" w:sz="8" w:space="0"/>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16960000</w:t>
            </w:r>
          </w:p>
        </w:tc>
        <w:tc>
          <w:tcPr>
            <w:tcW w:w="811" w:type="dxa"/>
            <w:tcBorders>
              <w:top w:val="single" w:color="auto" w:sz="8" w:space="0"/>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4883000</w:t>
            </w:r>
          </w:p>
        </w:tc>
        <w:tc>
          <w:tcPr>
            <w:tcW w:w="812" w:type="dxa"/>
            <w:tcBorders>
              <w:top w:val="single" w:color="auto" w:sz="8" w:space="0"/>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14320000</w:t>
            </w:r>
          </w:p>
        </w:tc>
        <w:tc>
          <w:tcPr>
            <w:tcW w:w="812" w:type="dxa"/>
            <w:tcBorders>
              <w:top w:val="single" w:color="auto" w:sz="8" w:space="0"/>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17856000</w:t>
            </w:r>
          </w:p>
        </w:tc>
        <w:tc>
          <w:tcPr>
            <w:tcW w:w="812" w:type="dxa"/>
            <w:tcBorders>
              <w:top w:val="single" w:color="auto" w:sz="8" w:space="0"/>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12920200</w:t>
            </w:r>
          </w:p>
        </w:tc>
        <w:tc>
          <w:tcPr>
            <w:tcW w:w="812" w:type="dxa"/>
            <w:tcBorders>
              <w:top w:val="single" w:color="auto" w:sz="8" w:space="0"/>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7988000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219"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333333"/>
                <w:kern w:val="0"/>
                <w:sz w:val="21"/>
                <w:szCs w:val="21"/>
                <w:u w:val="none"/>
                <w:lang w:val="en-US" w:eastAsia="zh-CN" w:bidi="ar"/>
              </w:rPr>
              <w:t>Catechin</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322900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261800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182500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120600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198200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820800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293800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490100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1490100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219"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333333"/>
                <w:kern w:val="0"/>
                <w:sz w:val="21"/>
                <w:szCs w:val="21"/>
                <w:u w:val="none"/>
                <w:lang w:val="en-US" w:eastAsia="zh-CN" w:bidi="ar"/>
              </w:rPr>
              <w:t>Ferulic Acid</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113400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2670000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48670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296100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117100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207000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47450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48510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468200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219"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333333"/>
                <w:kern w:val="0"/>
                <w:sz w:val="21"/>
                <w:szCs w:val="21"/>
                <w:u w:val="none"/>
                <w:lang w:val="en-US" w:eastAsia="zh-CN" w:bidi="ar"/>
              </w:rPr>
              <w:t>Rutin</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973600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773600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1239000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449000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656700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633400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890000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918700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963600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219"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333333"/>
                <w:kern w:val="0"/>
                <w:sz w:val="21"/>
                <w:szCs w:val="21"/>
                <w:u w:val="none"/>
                <w:lang w:val="en-US" w:eastAsia="zh-CN" w:bidi="ar"/>
              </w:rPr>
              <w:t>Phloridzin</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531600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1268000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1305000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1203000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1435000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1152000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1008000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1597000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948400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219"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333333"/>
                <w:kern w:val="0"/>
                <w:sz w:val="21"/>
                <w:szCs w:val="21"/>
                <w:u w:val="none"/>
                <w:lang w:val="en-US" w:eastAsia="zh-CN" w:bidi="ar"/>
              </w:rPr>
              <w:t>Caffeic Acid</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2740000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7801000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15030000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18150000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3680000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18740000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9110000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6403000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7040000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219"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333333"/>
                <w:kern w:val="0"/>
                <w:sz w:val="21"/>
                <w:szCs w:val="21"/>
                <w:u w:val="none"/>
                <w:lang w:val="en-US" w:eastAsia="zh-CN" w:bidi="ar"/>
              </w:rPr>
              <w:t>Proanthocyanidin</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67620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113200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48310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52090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55820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100500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174600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102600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27210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219"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Quercetin</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82000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84530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143500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554600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399400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361800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589100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357700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335600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219"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333333"/>
                <w:kern w:val="0"/>
                <w:sz w:val="21"/>
                <w:szCs w:val="21"/>
                <w:u w:val="none"/>
                <w:lang w:val="en-US" w:eastAsia="zh-CN" w:bidi="ar"/>
              </w:rPr>
              <w:t>Syringic acid</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1364600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1354700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1691000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2774000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7290000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3145000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7831000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235400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5108000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219"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333333"/>
                <w:kern w:val="0"/>
                <w:sz w:val="21"/>
                <w:szCs w:val="21"/>
                <w:u w:val="none"/>
                <w:lang w:val="en-US" w:eastAsia="zh-CN" w:bidi="ar"/>
              </w:rPr>
              <w:t>Protocatechuic acid</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1313000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1668000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1759000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3239000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2837000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4548000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1653100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1737200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2022000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219"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Coumalic acid</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3012000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5998000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13860000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2976500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3794000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2562000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6454100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6145000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7980000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219"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333333"/>
                <w:kern w:val="0"/>
                <w:sz w:val="21"/>
                <w:szCs w:val="21"/>
                <w:u w:val="none"/>
                <w:lang w:val="en-US" w:eastAsia="zh-CN" w:bidi="ar"/>
              </w:rPr>
              <w:t>Luteolin</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90680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474300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126600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139500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216600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118500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61650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79190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54410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219"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333333"/>
                <w:kern w:val="0"/>
                <w:sz w:val="21"/>
                <w:szCs w:val="21"/>
                <w:u w:val="none"/>
                <w:lang w:val="en-US" w:eastAsia="zh-CN" w:bidi="ar"/>
              </w:rPr>
              <w:t>Paeoniflorin</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96520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93310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2656000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210300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614900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27120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2640000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2716000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1213000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219"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Apigenin</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594600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893000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198000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2604000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3974000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3136300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257200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983000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574400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219"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333333"/>
                <w:kern w:val="0"/>
                <w:sz w:val="21"/>
                <w:szCs w:val="21"/>
                <w:u w:val="none"/>
                <w:lang w:val="en-US" w:eastAsia="zh-CN" w:bidi="ar"/>
              </w:rPr>
              <w:t>Hyperoside</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1758000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870100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1402000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2576000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1242000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1642000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2416000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862900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1995000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219"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Benzoic acid</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11720000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4181000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440600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15380000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17410000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478200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449800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5488000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12980000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219"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Resveratrol</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456600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183800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157200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378400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250400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142200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1877800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125800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188600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219"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Salicylic Acid</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52913000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73830000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58520000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80730000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35270000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36900000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36310000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21505000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22520000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219"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333333"/>
                <w:kern w:val="0"/>
                <w:sz w:val="21"/>
                <w:szCs w:val="21"/>
                <w:u w:val="none"/>
                <w:lang w:val="en-US" w:eastAsia="zh-CN" w:bidi="ar"/>
              </w:rPr>
              <w:t>Isorhamnetin</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977900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1140000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975900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707900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415800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720500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700400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861300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855700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219"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Naringin</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752200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808900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750200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980400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757000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114000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647100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244600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724900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219"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Prunin</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304500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626700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138100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609700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331800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603000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1528000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943400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506300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219"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Chlorogenic acid</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782000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1145000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1611400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2415000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1314200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1645000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4332000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4272000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3420000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219"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Rutin</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59510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18610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9310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27930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27930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37250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9016</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9310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9304</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219"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Kaempferol</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130500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601600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738700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573900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198700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406100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865100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898400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1007000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219"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P-coumaric acid</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1575500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3570000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2307000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6859000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5315000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5905000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16390000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14126400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19120000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219"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Cinnamic acid</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15220000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15880000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16600000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12960000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13116000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15650000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15760000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16920000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17010000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219"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Gentisic acid</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162800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110300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113400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287700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206200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282300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374000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246200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484600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219"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Isoflavone</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57740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49980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272400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540100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74600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17970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222900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169220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434300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219"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Epicatechin</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108700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439200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86010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373000</w:t>
            </w:r>
          </w:p>
        </w:tc>
        <w:tc>
          <w:tcPr>
            <w:tcW w:w="81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108700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778800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2555000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1171000</w:t>
            </w:r>
          </w:p>
        </w:tc>
        <w:tc>
          <w:tcPr>
            <w:tcW w:w="81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rPr>
            </w:pPr>
            <w:r>
              <w:rPr>
                <w:rFonts w:hint="default" w:ascii="Times New Roman" w:hAnsi="Times New Roman" w:eastAsia="宋体" w:cs="Times New Roman"/>
                <w:i w:val="0"/>
                <w:iCs w:val="0"/>
                <w:color w:val="000000"/>
                <w:kern w:val="0"/>
                <w:sz w:val="21"/>
                <w:szCs w:val="21"/>
                <w:u w:val="none"/>
                <w:lang w:val="en-US" w:eastAsia="zh-CN" w:bidi="ar"/>
              </w:rPr>
              <w:t>2793000</w:t>
            </w:r>
          </w:p>
        </w:tc>
      </w:tr>
    </w:tbl>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宋体" w:cs="Times New Roman"/>
          <w:color w:val="000000"/>
          <w:kern w:val="0"/>
          <w:sz w:val="21"/>
          <w:szCs w:val="21"/>
          <w:lang w:val="en-US" w:eastAsia="zh-CN" w:bidi="ar"/>
        </w:rPr>
      </w:pPr>
    </w:p>
    <w:p>
      <w:pPr>
        <w:keepNext w:val="0"/>
        <w:keepLines w:val="0"/>
        <w:pageBreakBefore w:val="0"/>
        <w:widowControl w:val="0"/>
        <w:kinsoku/>
        <w:wordWrap/>
        <w:overflowPunct/>
        <w:topLinePunct w:val="0"/>
        <w:autoSpaceDE/>
        <w:autoSpaceDN/>
        <w:bidi w:val="0"/>
        <w:adjustRightInd/>
        <w:snapToGrid/>
        <w:jc w:val="left"/>
        <w:textAlignment w:val="auto"/>
        <w:rPr>
          <w:rFonts w:hint="default" w:ascii="Times New Roman" w:hAnsi="Times New Roman" w:eastAsia="宋体" w:cs="Times New Roman"/>
          <w:sz w:val="21"/>
          <w:szCs w:val="21"/>
        </w:rPr>
      </w:pPr>
    </w:p>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drawing>
          <wp:inline distT="0" distB="0" distL="114300" distR="114300">
            <wp:extent cx="5267325" cy="2116455"/>
            <wp:effectExtent l="0" t="0" r="9525" b="17145"/>
            <wp:docPr id="3" name="图片 3" descr="fig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figS1"/>
                    <pic:cNvPicPr>
                      <a:picLocks noChangeAspect="1"/>
                    </pic:cNvPicPr>
                  </pic:nvPicPr>
                  <pic:blipFill>
                    <a:blip r:embed="rId4"/>
                    <a:stretch>
                      <a:fillRect/>
                    </a:stretch>
                  </pic:blipFill>
                  <pic:spPr>
                    <a:xfrm>
                      <a:off x="0" y="0"/>
                      <a:ext cx="5267325" cy="211645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jc w:val="left"/>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Fig.S1. The relative abundance of ARG in rhizosphere soil (A). The proportion of inherent and additional ARGs in soil(B). Different colors on the bar chart represent different types of ARGs</w:t>
      </w:r>
      <w:r>
        <w:rPr>
          <w:rFonts w:hint="eastAsia" w:ascii="Times New Roman" w:hAnsi="Times New Roman" w:eastAsia="宋体" w:cs="Times New Roman"/>
          <w:sz w:val="21"/>
          <w:szCs w:val="21"/>
          <w:lang w:val="en-US" w:eastAsia="zh-CN"/>
        </w:rPr>
        <w:t xml:space="preserve">. CK, P, and S respectively represent the treatments of no organic fertilizer application, pig manure organic fertilizer application, and sheep manure organic fertilizer application; T and H represent the onion planting and harvesting periods, respectively. </w:t>
      </w:r>
      <w:r>
        <w:rPr>
          <w:rFonts w:hint="default" w:ascii="Times New Roman" w:hAnsi="Times New Roman" w:eastAsia="宋体" w:cs="Times New Roman"/>
          <w:sz w:val="21"/>
          <w:szCs w:val="21"/>
          <w:lang w:val="en-US" w:eastAsia="zh-CN"/>
        </w:rPr>
        <w:t>The value is the mean ± standard deviation (n=5). Different lowercase letters represent significant differences (p&lt;0.05).</w:t>
      </w:r>
    </w:p>
    <w:p>
      <w:pPr>
        <w:keepNext w:val="0"/>
        <w:keepLines w:val="0"/>
        <w:pageBreakBefore w:val="0"/>
        <w:widowControl w:val="0"/>
        <w:kinsoku/>
        <w:wordWrap/>
        <w:overflowPunct/>
        <w:topLinePunct w:val="0"/>
        <w:autoSpaceDE/>
        <w:autoSpaceDN/>
        <w:bidi w:val="0"/>
        <w:adjustRightInd/>
        <w:snapToGrid/>
        <w:jc w:val="left"/>
        <w:textAlignment w:val="auto"/>
        <w:rPr>
          <w:rFonts w:hint="default" w:ascii="Times New Roman" w:hAnsi="Times New Roman" w:eastAsia="宋体"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drawing>
          <wp:inline distT="0" distB="0" distL="114300" distR="114300">
            <wp:extent cx="4109720" cy="2755265"/>
            <wp:effectExtent l="0" t="0" r="5080" b="6985"/>
            <wp:docPr id="2" name="图片 2" descr="organic fertilizer AR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organic fertilizer ARG"/>
                    <pic:cNvPicPr>
                      <a:picLocks noChangeAspect="1"/>
                    </pic:cNvPicPr>
                  </pic:nvPicPr>
                  <pic:blipFill>
                    <a:blip r:embed="rId5"/>
                    <a:stretch>
                      <a:fillRect/>
                    </a:stretch>
                  </pic:blipFill>
                  <pic:spPr>
                    <a:xfrm>
                      <a:off x="0" y="0"/>
                      <a:ext cx="4109720" cy="275526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Fig.S2. The absolute abundance of ARGs in organic fertilizer (A). The number of ARG types in organic fertilizer (B). PF and SF represent pig manure organic fertilizer and sheep manure organic fertilizer, respectively. The value is the mean ± standard deviation (n=5). Different lowercase letters represent significant differences (p&lt;0.05).</w:t>
      </w:r>
    </w:p>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drawing>
          <wp:inline distT="0" distB="0" distL="114300" distR="114300">
            <wp:extent cx="5271135" cy="2148840"/>
            <wp:effectExtent l="0" t="0" r="5715" b="3810"/>
            <wp:docPr id="4" name="图片 4" descr="FIG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FIG3"/>
                    <pic:cNvPicPr>
                      <a:picLocks noChangeAspect="1"/>
                    </pic:cNvPicPr>
                  </pic:nvPicPr>
                  <pic:blipFill>
                    <a:blip r:embed="rId6"/>
                    <a:stretch>
                      <a:fillRect/>
                    </a:stretch>
                  </pic:blipFill>
                  <pic:spPr>
                    <a:xfrm>
                      <a:off x="0" y="0"/>
                      <a:ext cx="5271135" cy="214884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Fig. S3. Copy number of ARGs per gram in onion (A). The number of ARG in onion (B). The value is the mean ± standard deviation (n=5). Different lowercase letters represent significant differences (p&lt;0.05).</w:t>
      </w:r>
    </w:p>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drawing>
          <wp:inline distT="0" distB="0" distL="114300" distR="114300">
            <wp:extent cx="4683760" cy="5598795"/>
            <wp:effectExtent l="0" t="0" r="2540" b="1905"/>
            <wp:docPr id="6" name="图片 6" descr="图片我去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图片我去1"/>
                    <pic:cNvPicPr>
                      <a:picLocks noChangeAspect="1"/>
                    </pic:cNvPicPr>
                  </pic:nvPicPr>
                  <pic:blipFill>
                    <a:blip r:embed="rId7"/>
                    <a:stretch>
                      <a:fillRect/>
                    </a:stretch>
                  </pic:blipFill>
                  <pic:spPr>
                    <a:xfrm>
                      <a:off x="0" y="0"/>
                      <a:ext cx="4683760" cy="559879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jc w:val="left"/>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Fig. S4. The relative abundance of ARG in onions. CK, P, and S represent treatments without organic fertilizer, with pig manure organic fertilizer, and with sheep manure organic fertilizer, respectively; R and B represent the root and bulb tissues of onions, respectively. Normalize each row</w:t>
      </w:r>
    </w:p>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drawing>
          <wp:inline distT="0" distB="0" distL="114300" distR="114300">
            <wp:extent cx="3187700" cy="3643630"/>
            <wp:effectExtent l="0" t="0" r="12700" b="13970"/>
            <wp:docPr id="5" name="图片 5" descr="洋葱高风险ARG热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洋葱高风险ARG热图"/>
                    <pic:cNvPicPr>
                      <a:picLocks noChangeAspect="1"/>
                    </pic:cNvPicPr>
                  </pic:nvPicPr>
                  <pic:blipFill>
                    <a:blip r:embed="rId8"/>
                    <a:stretch>
                      <a:fillRect/>
                    </a:stretch>
                  </pic:blipFill>
                  <pic:spPr>
                    <a:xfrm>
                      <a:off x="0" y="0"/>
                      <a:ext cx="3187700" cy="364363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 xml:space="preserve">Fig. S5. Absolute abundance of high-risk ARGs detected in  onion roots and bulb tissues. CK, P, and S represent treatments without organic fertilizer, with pig manure organic fertilizer, and with sheep manure organic fertilizer, respectively; R and B represent the root and bulb tissues of onion, respectively. </w:t>
      </w:r>
    </w:p>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drawing>
          <wp:inline distT="0" distB="0" distL="114300" distR="114300">
            <wp:extent cx="5617845" cy="1966595"/>
            <wp:effectExtent l="0" t="0" r="1905" b="14605"/>
            <wp:docPr id="1" name="图片 1" descr="S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SAD"/>
                    <pic:cNvPicPr>
                      <a:picLocks noChangeAspect="1"/>
                    </pic:cNvPicPr>
                  </pic:nvPicPr>
                  <pic:blipFill>
                    <a:blip r:embed="rId9"/>
                    <a:stretch>
                      <a:fillRect/>
                    </a:stretch>
                  </pic:blipFill>
                  <pic:spPr>
                    <a:xfrm>
                      <a:off x="0" y="0"/>
                      <a:ext cx="5617845" cy="196659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jc w:val="both"/>
        <w:textAlignment w:val="auto"/>
        <w:rPr>
          <w:rFonts w:hint="eastAsia"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Fig. S6. Analysis of α diversity of rhizosphere soil microbial communities.</w:t>
      </w:r>
      <w:r>
        <w:rPr>
          <w:rFonts w:hint="eastAsia"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lang w:val="en-US" w:eastAsia="zh-CN"/>
        </w:rPr>
        <w:t>Different lowercase letters represent significant differences (p&lt;0.05).</w:t>
      </w:r>
      <w:r>
        <w:rPr>
          <w:rFonts w:hint="eastAsia" w:ascii="Times New Roman" w:hAnsi="Times New Roman" w:eastAsia="宋体" w:cs="Times New Roman"/>
          <w:sz w:val="21"/>
          <w:szCs w:val="21"/>
          <w:lang w:val="en-US" w:eastAsia="zh-CN"/>
        </w:rPr>
        <w:t xml:space="preserve"> Sample code is the same as in Fig. S1.</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宋体"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drawing>
          <wp:inline distT="0" distB="0" distL="114300" distR="114300">
            <wp:extent cx="5274310" cy="4358640"/>
            <wp:effectExtent l="0" t="0" r="2540" b="3810"/>
            <wp:docPr id="9" name="图片 9" descr="ds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dsde"/>
                    <pic:cNvPicPr>
                      <a:picLocks noChangeAspect="1"/>
                    </pic:cNvPicPr>
                  </pic:nvPicPr>
                  <pic:blipFill>
                    <a:blip r:embed="rId10"/>
                    <a:stretch>
                      <a:fillRect/>
                    </a:stretch>
                  </pic:blipFill>
                  <pic:spPr>
                    <a:xfrm>
                      <a:off x="0" y="0"/>
                      <a:ext cx="5274310" cy="435864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jc w:val="both"/>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 xml:space="preserve">Fig. S7. Network of the Spearman's correlations between root exudates、potential hosts of ARGs and rhizosphere soil(E). Among them, R represents onion endophytic bacteria, and RS represents rhizosphere soil microorganisms </w:t>
      </w:r>
    </w:p>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drawing>
          <wp:inline distT="0" distB="0" distL="114300" distR="114300">
            <wp:extent cx="5262245" cy="2477135"/>
            <wp:effectExtent l="0" t="0" r="14605" b="18415"/>
            <wp:docPr id="7" name="图片 7" descr="图片上的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上的1"/>
                    <pic:cNvPicPr>
                      <a:picLocks noChangeAspect="1"/>
                    </pic:cNvPicPr>
                  </pic:nvPicPr>
                  <pic:blipFill>
                    <a:blip r:embed="rId11"/>
                    <a:stretch>
                      <a:fillRect/>
                    </a:stretch>
                  </pic:blipFill>
                  <pic:spPr>
                    <a:xfrm>
                      <a:off x="0" y="0"/>
                      <a:ext cx="5262245" cy="247713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 xml:space="preserve">Fig. S8. </w:t>
      </w:r>
      <w:r>
        <w:rPr>
          <w:rFonts w:hint="default" w:ascii="Times New Roman" w:hAnsi="Times New Roman" w:eastAsia="宋体" w:cs="Times New Roman"/>
          <w:sz w:val="21"/>
          <w:szCs w:val="21"/>
          <w:lang w:val="en-US" w:eastAsia="zh-CN"/>
        </w:rPr>
        <w:t>Heatmap of 5 bacteria carrying ARGs, green is uncarried and purple represents carried. Genes that have been detected by high-throughput Qpcr are within the purple circles. The right bar graph shows the relative abundance of the five bacteria in the onion bulb microbial community, mean ± SD (n=3).</w:t>
      </w:r>
    </w:p>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sz w:val="21"/>
          <w:szCs w:val="21"/>
          <w:lang w:val="en-US" w:eastAsia="zh-CN"/>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M4NGFkYTZmOTJkMDQ1NjY0MmU1NWI4MGRlMTc3MzcifQ=="/>
  </w:docVars>
  <w:rsids>
    <w:rsidRoot w:val="5F5F79C3"/>
    <w:rsid w:val="03254877"/>
    <w:rsid w:val="05E05ABA"/>
    <w:rsid w:val="0F7554C5"/>
    <w:rsid w:val="155E48F8"/>
    <w:rsid w:val="1A622AE9"/>
    <w:rsid w:val="2BEC66B7"/>
    <w:rsid w:val="33E17D36"/>
    <w:rsid w:val="345242DE"/>
    <w:rsid w:val="53BB67EB"/>
    <w:rsid w:val="557B26D6"/>
    <w:rsid w:val="56C440E6"/>
    <w:rsid w:val="5B367C9D"/>
    <w:rsid w:val="5F5F79C3"/>
    <w:rsid w:val="60056D31"/>
    <w:rsid w:val="6E745C09"/>
    <w:rsid w:val="75A63DEB"/>
    <w:rsid w:val="790705EF"/>
    <w:rsid w:val="7B454A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jpe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2023-12-18T02:08:00Z</dcterms:created>
  <dc:creator>LD</dc:creator>
  <cp:lastModifiedBy>LD</cp:lastModifiedBy>
  <dcterms:modified xsi:type="dcterms:W3CDTF">2023-12-25T06:32:50Z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E857297F5A1149D9904D6BDDF85898E3_11</vt:lpwstr>
  </property>
</Properties>
</file>