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rPr>
          <w:b w:val="0"/>
        </w:rPr>
      </w:pPr>
      <w:r>
        <w:t>Supplementary Material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 xml:space="preserve"> Effects of different types of exercise intensity on improving physical health in children and adolescents: A systematic review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Xianxian Zhou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, Jiayu Li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vertAlign w:val="superscript"/>
          <w:lang w:val="en-US" w:eastAsia="zh-CN" w:bidi="ar"/>
        </w:rPr>
        <w:t xml:space="preserve"> 1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, Xiaoping Jiang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*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College of Physical Education and Health Sciences, Zhejiang Normal University, Jinhua, China, Zhejiang 321004, China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0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*Correspondence: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Xiaoping Jiang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instrText xml:space="preserve"> HYPERLINK "mailto:jxp@zjnu.cn" </w:instrTex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fldChar w:fldCharType="separate"/>
      </w:r>
      <w:r>
        <w:rPr>
          <w:rStyle w:val="9"/>
          <w:rFonts w:hint="default" w:ascii="Times New Roman" w:hAnsi="Times New Roman" w:cs="Times New Roman"/>
          <w:color w:val="000000"/>
          <w:sz w:val="24"/>
          <w:szCs w:val="24"/>
          <w:u w:val="single"/>
          <w:lang w:val="en-US"/>
        </w:rPr>
        <w:t>jxp@zjnu.cn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1  Supplementary Tables</w:t>
      </w:r>
    </w:p>
    <w:p>
      <w:pPr>
        <w:numPr>
          <w:ilvl w:val="1"/>
          <w:numId w:val="1"/>
        </w:numPr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Supplementary Table S1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/>
          <w:sz w:val="24"/>
          <w:szCs w:val="3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32"/>
          <w:lang w:val="en-US" w:eastAsia="zh-CN" w:bidi="ar"/>
        </w:rPr>
        <w:t>Table S1. Search strategies.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6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Web of science =8088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AB(Adolescent OR child* OR schoolchildren OR preschooler OR preadolescent OR teen* OR youth )  AND  (exercise OR physical*activity OR physical*education OR fitness OR sport* OR motor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AND (random OR random controlled OR controlled trial OR trial))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Pub-Med =1533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(("Adolescent" [Title] OR "child* "[Title] OR "schoolchildren"[Title] OR "preschooler"[Title] OR "preadolescent"[Title] OR "teen*"[Title] OR "youth"[Title]) AND ("exercise"[Title] OR "physical*activity"[Title] OR "physical*education"[Title] OR "fitness"[Title] OR "sport*"[Title] OR "motor"[Title])) AND ("random"[Title] OR "random controlled"[Title] OR "controlled trial "OR "trial"[Title])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Scopus =1058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(T ITLE -ABS-KEY (adolescent OR child* OR schoolchildren OR preschooler OR preadolescent OR teen* OR youth) AND TITLE-ABS-KEY (exercise OR physical*activity OR physical*education OR fitness OR sport* OR motor) AND TITLE-ABS-KEY (random OR random AND controlled OR controlled AND trial OR trial))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EBSCO=1710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 TI (adolescent OR child* OR schoolchildren OR preschooler OR preadolescent OR teen* OR youth) AND TI (exercise OR physical*activity OR physical*education OR fitness OR sport* OR motor) AND TI (random OR random AND controlled OR controlled AND trial OR trial) </w:t>
            </w:r>
          </w:p>
        </w:tc>
      </w:tr>
    </w:tbl>
    <w:p>
      <w:pPr>
        <w:numPr>
          <w:ilvl w:val="0"/>
          <w:numId w:val="0"/>
        </w:numPr>
        <w:spacing w:before="120" w:after="240" w:line="240" w:lineRule="auto"/>
        <w:rPr>
          <w:rFonts w:hint="eastAsia" w:eastAsia="宋体"/>
          <w:b/>
          <w:bCs/>
          <w:lang w:val="en-US" w:eastAsia="zh-CN"/>
        </w:rPr>
      </w:pPr>
    </w:p>
    <w:p>
      <w:pPr>
        <w:numPr>
          <w:ilvl w:val="1"/>
          <w:numId w:val="1"/>
        </w:numPr>
        <w:rPr>
          <w:rFonts w:hint="default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Supplementary Table S2</w:t>
      </w: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S2.Testing tools</w:t>
      </w:r>
    </w:p>
    <w:tbl>
      <w:tblPr>
        <w:tblStyle w:val="6"/>
        <w:tblW w:w="0" w:type="auto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"/>
              </w:rPr>
              <w:t>Author / Year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"/>
              </w:rPr>
              <w:t>Tool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Farah (2014)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Fili Zola scale</w:t>
            </w: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Wall mounted stadiometer</w:t>
            </w: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Fili Zola; Peak oxygen uptake (VO2peak); commercial enzyme-linked immunosorbent multiplex panel assay kits; Heart-rate monitor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Hay (2016)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 xml:space="preserve">Intravenous glucose tolerance test; Magnetic resonance spectroscopy; Dual X-ray absorptiometry-derived; polar heart rate monitor; Dina map automatic machine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Bond (2015)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Flow mediated dilation (FMD); laser Doppler imaging (peak reactive hyperemia; PRH); ECG-gating software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Paravidino (2016)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Heart rate monitors; portable electronic scale; portable stadiometer; triaxial accelerometers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Tadiotto (2023)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portable stadiometer; Colorimetric enzymatic method; K4b2 metabolic analyzer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Larsen (2018)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Whole-body dual-energy X-ray absorptiometry (DXA); Flamingo balance and standing long jump;20-m sprint tests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Ramirez-Velez (2022)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Cytokine antibody array; Heart rate monitors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Cao (2022)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Dual-energy x-ray absorptiometry; anthropometry; DXA; Blood sample collection; TANITA scale; automatic BP monitor; non-deformable tape; Fasting blood draws; automated device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Dias (2018)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Maximal exercise test; magnetic resonance imaging (MRI); dual-energy X-ray absorptiometry (DXA); air-displacement plethysmography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Faigenbaum (1999)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Child-size dynamic constant external resistance (DCER) equipment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Benson (2008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Portable stadiometer; digital scale and BIA used standardized techniques; height-based treadmill walk protocol; automated computerized breath-by-breath metabolic cart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Taber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(2014)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Accelerometers</w:t>
            </w: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calibrated stadiometer</w:t>
            </w: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dual-energy X-ray absorptiometry</w:t>
            </w: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BMI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Davis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(2012)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Oral glucose tolerance test; via dual-energy X-ray absorptiometry; magnetic resonance; glucose oxidase method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Burns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(2012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Electronic wall-mounted stadiometer; scale; flexible measuring tape; calipers; automated metabolic cart; automated sphygmomanometer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Leppanen (2016)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WGT3x-BT triaxial accelerometer; air-displacement plethysmography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Leppanen (2017)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wGT3x-BT triaxial accelerometer; air-displacement plethysmography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Gomes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(2013)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Use an open-circuit boli code element analyzer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Buchan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(2013)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Calibrated electronic weighing scales; automated monitor; opt jump system; electronic sprint timer with photoelectric sensors; continuous heart rate telemetry; enzymatic methods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Grasten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 xml:space="preserve"> (2022)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20mSRT test; Actigraphy GT3X+ waist-worn activity monitors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Costigan (2015)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Progressive Aerobic Cardiovascular Endurance Run shuttle test; portable digital scale; portable stadiometer; non-extensible steel tape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Saidi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(2019)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Anthropometric; body composition; Yo-Yo intermittent recovery level 1 tests; Happened Skinfold Caliper; Horne–Oseberg morningness-eveningness questionnaire (MEQ) the self-report Pittsburgh sleep quality index (PSQI); Epworth sleepiness scale (ESS) questionnaires; heart rate monitor; Met Amax 3B portable gas analyzer; standard ergometer software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Saidi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(2020)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Pittsburgh Sleep Quality Index; Pediatric Daytime Sleepiness Scale; Heart rate monitor; dual-energy X-ray absorptiometry; electromagnetically braked cycle ergometer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Gerber (2021)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Light triaxial accelerometers; SPSS version 26; ACTi life software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Winn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(2021)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Asthma Control Questionnaire; Electromagnetically braked cycle ergometer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Paulino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(2021)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Forearm plethysmography; Rating perceived exertion; Yo-Yo Intermittent Endurance Test level one; electrical weight scale; portable stadiometer; self-reported questionnaire – the International Physical Activity Questionnaire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Videira-Silva (2022)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Dual-energy X-ray absorptiometry; Appropriately sized cuff; Gas analyzer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 xml:space="preserve">Juric </w:t>
            </w: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(2023)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Anthropometer; Tanita BC- 418 Segmental Body Composition Analyzer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Farpour-Lambert (2009)</w:t>
            </w:r>
          </w:p>
        </w:tc>
        <w:tc>
          <w:tcPr>
            <w:tcW w:w="6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12"/>
                <w:kern w:val="2"/>
                <w:sz w:val="22"/>
                <w:szCs w:val="22"/>
                <w:lang w:val="en-US" w:eastAsia="zh-CN" w:bidi="ar"/>
              </w:rPr>
              <w:t>Electronic scale; Hardened stadiometer; Dual-energy X-ray absorptiometry; Validated automated device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 w:eastAsia="宋体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D42F35"/>
    <w:multiLevelType w:val="multilevel"/>
    <w:tmpl w:val="CAD42F35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N2U0NTE2ZWZjNGNkOGYwMTY5ODIwZjEyYjUxNGMifQ=="/>
  </w:docVars>
  <w:rsids>
    <w:rsidRoot w:val="65A6618E"/>
    <w:rsid w:val="04CF2C20"/>
    <w:rsid w:val="1D1D405C"/>
    <w:rsid w:val="65A6618E"/>
    <w:rsid w:val="6DB5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cs="Calibri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8">
    <w:name w:val="FollowedHyperlink"/>
    <w:basedOn w:val="7"/>
    <w:qFormat/>
    <w:uiPriority w:val="0"/>
    <w:rPr>
      <w:color w:val="954F72"/>
      <w:u w:val="single"/>
    </w:rPr>
  </w:style>
  <w:style w:type="character" w:styleId="9">
    <w:name w:val="Hyperlink"/>
    <w:basedOn w:val="7"/>
    <w:qFormat/>
    <w:uiPriority w:val="0"/>
    <w:rPr>
      <w:color w:val="0563C1"/>
      <w:u w:val="single"/>
    </w:rPr>
  </w:style>
  <w:style w:type="paragraph" w:customStyle="1" w:styleId="10">
    <w:name w:val="Supplementary Material"/>
    <w:basedOn w:val="4"/>
    <w:next w:val="4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2023-06-14T08:29:00Z</dcterms:created>
  <dc:creator>阁下何不同风起,扶摇直上九万里</dc:creator>
  <cp:lastModifiedBy>阁下何不同风起,扶摇直上九万里</cp:lastModifiedBy>
  <dcterms:modified xsi:type="dcterms:W3CDTF">2023-11-12T03:22:14Z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AB7C42679B4149D2A3D0E92748404608_13</vt:lpwstr>
  </property>
</Properties>
</file>