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B99CD" w14:textId="77777777" w:rsidR="007D1D90" w:rsidRPr="00A97CD6" w:rsidRDefault="007D1D90" w:rsidP="007D1D90">
      <w:pPr>
        <w:pStyle w:val="Paragraph"/>
        <w:spacing w:line="480" w:lineRule="auto"/>
        <w:ind w:firstLine="0"/>
        <w:rPr>
          <w:rFonts w:ascii="Arial" w:hAnsi="Arial" w:cs="Arial"/>
          <w:b/>
          <w:bCs/>
          <w:sz w:val="21"/>
        </w:rPr>
      </w:pPr>
      <w:r w:rsidRPr="00A97CD6">
        <w:rPr>
          <w:rFonts w:ascii="Arial" w:hAnsi="Arial" w:cs="Arial"/>
          <w:b/>
          <w:bCs/>
          <w:sz w:val="21"/>
        </w:rPr>
        <w:t>Extended Data</w:t>
      </w:r>
    </w:p>
    <w:p w14:paraId="23780C57" w14:textId="77777777" w:rsidR="007D1D90" w:rsidRPr="00FD6F8A" w:rsidRDefault="007D1D90" w:rsidP="007D1D90">
      <w:pPr>
        <w:pStyle w:val="Paragraph"/>
        <w:spacing w:before="0" w:line="480" w:lineRule="auto"/>
        <w:ind w:firstLine="0"/>
        <w:jc w:val="center"/>
        <w:rPr>
          <w:rFonts w:ascii="Arial" w:hAnsi="Arial" w:cs="Arial"/>
        </w:rPr>
      </w:pPr>
      <w:r w:rsidRPr="00FD6F8A">
        <w:rPr>
          <w:noProof/>
          <w:lang w:eastAsia="zh-CN"/>
        </w:rPr>
        <w:drawing>
          <wp:inline distT="0" distB="0" distL="0" distR="0" wp14:anchorId="006014E2" wp14:editId="010DE29E">
            <wp:extent cx="6010180" cy="557152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180" cy="5571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E284B" w14:textId="77777777" w:rsidR="007D1D90" w:rsidRPr="00A97CD6" w:rsidRDefault="007D1D90" w:rsidP="007D1D90">
      <w:pPr>
        <w:spacing w:line="480" w:lineRule="auto"/>
        <w:jc w:val="both"/>
        <w:rPr>
          <w:rFonts w:ascii="Arial" w:hAnsi="Arial" w:cs="Arial"/>
          <w:sz w:val="21"/>
          <w:szCs w:val="24"/>
        </w:rPr>
      </w:pPr>
      <w:r w:rsidRPr="00A97CD6">
        <w:rPr>
          <w:rFonts w:ascii="Arial" w:hAnsi="Arial" w:cs="Arial"/>
          <w:b/>
          <w:bCs/>
          <w:sz w:val="21"/>
          <w:szCs w:val="24"/>
        </w:rPr>
        <w:t>Fig. 1 | Patterns of PM</w:t>
      </w:r>
      <w:r w:rsidRPr="00A97CD6">
        <w:rPr>
          <w:rFonts w:ascii="Arial" w:hAnsi="Arial" w:cs="Arial"/>
          <w:b/>
          <w:bCs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b/>
          <w:bCs/>
          <w:sz w:val="21"/>
          <w:szCs w:val="24"/>
        </w:rPr>
        <w:t xml:space="preserve"> air pollution for site measurements and satellite observation. A</w:t>
      </w:r>
      <w:r w:rsidRPr="00A97CD6">
        <w:rPr>
          <w:rFonts w:ascii="Arial" w:hAnsi="Arial" w:cs="Arial"/>
          <w:sz w:val="21"/>
          <w:szCs w:val="24"/>
        </w:rPr>
        <w:t>,</w:t>
      </w:r>
      <w:r w:rsidRPr="00A97CD6">
        <w:rPr>
          <w:rFonts w:ascii="Arial" w:hAnsi="Arial" w:cs="Arial"/>
          <w:b/>
          <w:bCs/>
          <w:sz w:val="21"/>
          <w:szCs w:val="24"/>
        </w:rPr>
        <w:t xml:space="preserve"> B</w:t>
      </w:r>
      <w:r w:rsidRPr="00A97CD6">
        <w:rPr>
          <w:rFonts w:ascii="Arial" w:hAnsi="Arial" w:cs="Arial"/>
          <w:sz w:val="21"/>
          <w:szCs w:val="24"/>
        </w:rPr>
        <w:t>,</w:t>
      </w:r>
      <w:r>
        <w:rPr>
          <w:rFonts w:ascii="Arial" w:hAnsi="Arial" w:cs="Arial"/>
          <w:b/>
          <w:bCs/>
          <w:sz w:val="21"/>
          <w:szCs w:val="24"/>
        </w:rPr>
        <w:t xml:space="preserve"> </w:t>
      </w:r>
      <w:r w:rsidRPr="00A97CD6">
        <w:rPr>
          <w:rFonts w:ascii="Arial" w:hAnsi="Arial" w:cs="Arial"/>
          <w:sz w:val="21"/>
          <w:szCs w:val="24"/>
        </w:rPr>
        <w:t>The temporal variations of PM</w:t>
      </w:r>
      <w:r w:rsidRPr="00A97CD6">
        <w:rPr>
          <w:rFonts w:ascii="Arial" w:hAnsi="Arial" w:cs="Arial"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sz w:val="21"/>
          <w:szCs w:val="24"/>
        </w:rPr>
        <w:t xml:space="preserve"> concentrations across four seasons, as determined by site measurements and satellite observations. The bar plots depicted in both figures represent the average PM</w:t>
      </w:r>
      <w:r w:rsidRPr="00A97CD6">
        <w:rPr>
          <w:rFonts w:ascii="Arial" w:hAnsi="Arial" w:cs="Arial"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sz w:val="21"/>
          <w:szCs w:val="24"/>
        </w:rPr>
        <w:t xml:space="preserve"> concentrations for various seasons, with the accompanying error bars indicating the standard deviations. </w:t>
      </w:r>
      <w:r w:rsidRPr="00A97CD6">
        <w:rPr>
          <w:rFonts w:ascii="Arial" w:hAnsi="Arial" w:cs="Arial"/>
          <w:b/>
          <w:bCs/>
          <w:sz w:val="21"/>
          <w:szCs w:val="24"/>
        </w:rPr>
        <w:t>C</w:t>
      </w:r>
      <w:r w:rsidRPr="00A97CD6">
        <w:rPr>
          <w:rFonts w:ascii="Arial" w:hAnsi="Arial" w:cs="Arial"/>
          <w:sz w:val="21"/>
          <w:szCs w:val="24"/>
        </w:rPr>
        <w:t>, Temporal span of PM</w:t>
      </w:r>
      <w:r w:rsidRPr="00A97CD6">
        <w:rPr>
          <w:rFonts w:ascii="Arial" w:hAnsi="Arial" w:cs="Arial"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sz w:val="21"/>
          <w:szCs w:val="24"/>
        </w:rPr>
        <w:t xml:space="preserve"> measurement data from sites in the USA, Europe, China, and other regions. The box plots indicate the distribution of PM</w:t>
      </w:r>
      <w:r w:rsidRPr="00A97CD6">
        <w:rPr>
          <w:rFonts w:ascii="Arial" w:hAnsi="Arial" w:cs="Arial"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sz w:val="21"/>
          <w:szCs w:val="24"/>
        </w:rPr>
        <w:t xml:space="preserve"> concentrations in spring obtained from site measurements. </w:t>
      </w:r>
      <w:r w:rsidRPr="00A97CD6">
        <w:rPr>
          <w:rFonts w:ascii="Arial" w:hAnsi="Arial" w:cs="Arial"/>
          <w:b/>
          <w:bCs/>
          <w:sz w:val="21"/>
          <w:szCs w:val="24"/>
        </w:rPr>
        <w:t>D</w:t>
      </w:r>
      <w:r w:rsidRPr="00A97CD6">
        <w:rPr>
          <w:rFonts w:ascii="Arial" w:hAnsi="Arial" w:cs="Arial"/>
          <w:sz w:val="21"/>
          <w:szCs w:val="24"/>
        </w:rPr>
        <w:t>, Global distribution of springtime PM</w:t>
      </w:r>
      <w:r w:rsidRPr="00A97CD6">
        <w:rPr>
          <w:rFonts w:ascii="Arial" w:hAnsi="Arial" w:cs="Arial"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sz w:val="21"/>
          <w:szCs w:val="24"/>
        </w:rPr>
        <w:t xml:space="preserve"> concentrations as derived from satellite </w:t>
      </w:r>
      <w:r w:rsidRPr="00A97CD6">
        <w:rPr>
          <w:rFonts w:ascii="Arial" w:hAnsi="Arial" w:cs="Arial"/>
          <w:sz w:val="21"/>
          <w:szCs w:val="24"/>
        </w:rPr>
        <w:lastRenderedPageBreak/>
        <w:t xml:space="preserve">observations. </w:t>
      </w:r>
      <w:r w:rsidRPr="00A97CD6">
        <w:rPr>
          <w:rFonts w:ascii="Arial" w:hAnsi="Arial" w:cs="Arial"/>
          <w:b/>
          <w:bCs/>
          <w:sz w:val="21"/>
          <w:szCs w:val="24"/>
        </w:rPr>
        <w:t>E</w:t>
      </w:r>
      <w:r w:rsidRPr="00A97CD6">
        <w:rPr>
          <w:rFonts w:ascii="Arial" w:hAnsi="Arial" w:cs="Arial"/>
          <w:sz w:val="21"/>
          <w:szCs w:val="24"/>
        </w:rPr>
        <w:t>, Trends in site-measured PM</w:t>
      </w:r>
      <w:r w:rsidRPr="00A97CD6">
        <w:rPr>
          <w:rFonts w:ascii="Arial" w:hAnsi="Arial" w:cs="Arial"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sz w:val="21"/>
          <w:szCs w:val="24"/>
        </w:rPr>
        <w:t xml:space="preserve"> concentrations in spring. The blue and red indicates a declining and an increasing trend of PM</w:t>
      </w:r>
      <w:r w:rsidRPr="00A97CD6">
        <w:rPr>
          <w:rFonts w:ascii="Arial" w:hAnsi="Arial" w:cs="Arial"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sz w:val="21"/>
          <w:szCs w:val="24"/>
        </w:rPr>
        <w:t xml:space="preserve"> concentrations, with varying opacities reflecting the significance of these trends. </w:t>
      </w:r>
      <w:r w:rsidRPr="00A97CD6">
        <w:rPr>
          <w:rFonts w:ascii="Arial" w:hAnsi="Arial" w:cs="Arial"/>
          <w:b/>
          <w:bCs/>
          <w:sz w:val="21"/>
          <w:szCs w:val="24"/>
        </w:rPr>
        <w:t>F</w:t>
      </w:r>
      <w:r w:rsidRPr="00A97CD6">
        <w:rPr>
          <w:rFonts w:ascii="Arial" w:hAnsi="Arial" w:cs="Arial"/>
          <w:sz w:val="21"/>
          <w:szCs w:val="24"/>
        </w:rPr>
        <w:t>, Spatial distribution of springtime PM</w:t>
      </w:r>
      <w:r w:rsidRPr="00A97CD6">
        <w:rPr>
          <w:rFonts w:ascii="Arial" w:hAnsi="Arial" w:cs="Arial"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sz w:val="21"/>
          <w:szCs w:val="24"/>
        </w:rPr>
        <w:t xml:space="preserve"> concentration trends for satellite observations, where black </w:t>
      </w:r>
      <w:r>
        <w:rPr>
          <w:rFonts w:ascii="Arial" w:hAnsi="Arial" w:cs="Arial"/>
          <w:sz w:val="21"/>
          <w:szCs w:val="24"/>
        </w:rPr>
        <w:t>cross</w:t>
      </w:r>
      <w:r w:rsidRPr="00A97CD6">
        <w:rPr>
          <w:rFonts w:ascii="Arial" w:hAnsi="Arial" w:cs="Arial"/>
          <w:sz w:val="21"/>
          <w:szCs w:val="24"/>
        </w:rPr>
        <w:t xml:space="preserve"> symbols represent significant changes in trends (</w:t>
      </w:r>
      <w:r w:rsidRPr="00A97CD6">
        <w:rPr>
          <w:rFonts w:ascii="Arial" w:hAnsi="Arial" w:cs="Arial"/>
          <w:i/>
          <w:iCs/>
          <w:sz w:val="21"/>
          <w:szCs w:val="24"/>
        </w:rPr>
        <w:t>P</w:t>
      </w:r>
      <w:r w:rsidRPr="00A97CD6">
        <w:rPr>
          <w:rFonts w:ascii="Arial" w:hAnsi="Arial" w:cs="Arial"/>
          <w:sz w:val="21"/>
          <w:szCs w:val="24"/>
        </w:rPr>
        <w:t xml:space="preserve"> &lt; 0.1).</w:t>
      </w:r>
    </w:p>
    <w:p w14:paraId="35DCA90D" w14:textId="77777777" w:rsidR="007D1D90" w:rsidRPr="00FD6F8A" w:rsidRDefault="007D1D90" w:rsidP="007D1D90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6D4E2F76" w14:textId="77777777" w:rsidR="007D1D90" w:rsidRPr="00FD6F8A" w:rsidRDefault="007D1D90" w:rsidP="007D1D90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 w:rsidRPr="00FD6F8A">
        <w:rPr>
          <w:noProof/>
          <w:lang w:eastAsia="zh-CN"/>
        </w:rPr>
        <w:drawing>
          <wp:inline distT="0" distB="0" distL="0" distR="0" wp14:anchorId="0CBB89F1" wp14:editId="11A7896E">
            <wp:extent cx="5845240" cy="4602479"/>
            <wp:effectExtent l="0" t="0" r="3175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5240" cy="4602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FB69A" w14:textId="77777777" w:rsidR="007D1D90" w:rsidRPr="00FD6F8A" w:rsidRDefault="007D1D90" w:rsidP="007D1D90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A97CD6">
        <w:rPr>
          <w:rFonts w:ascii="Arial" w:hAnsi="Arial" w:cs="Arial"/>
          <w:b/>
          <w:bCs/>
          <w:sz w:val="21"/>
          <w:szCs w:val="24"/>
        </w:rPr>
        <w:t>Fig. 2 | Impacts of PM</w:t>
      </w:r>
      <w:r w:rsidRPr="00A97CD6">
        <w:rPr>
          <w:rFonts w:ascii="Arial" w:hAnsi="Arial" w:cs="Arial"/>
          <w:b/>
          <w:bCs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b/>
          <w:bCs/>
          <w:sz w:val="21"/>
          <w:szCs w:val="24"/>
        </w:rPr>
        <w:t xml:space="preserve"> and climate change on spring greening at site scale. A-C, </w:t>
      </w:r>
      <w:r w:rsidRPr="00A97CD6">
        <w:rPr>
          <w:rFonts w:ascii="Arial" w:hAnsi="Arial" w:cs="Arial"/>
          <w:sz w:val="21"/>
          <w:szCs w:val="24"/>
        </w:rPr>
        <w:t>Sensitivities of NDVI (</w:t>
      </w:r>
      <w:r w:rsidRPr="00A97CD6">
        <w:rPr>
          <w:rFonts w:ascii="Arial" w:hAnsi="Arial" w:cs="Arial"/>
          <w:b/>
          <w:bCs/>
          <w:sz w:val="21"/>
          <w:szCs w:val="24"/>
        </w:rPr>
        <w:t>A</w:t>
      </w:r>
      <w:r w:rsidRPr="00A97CD6">
        <w:rPr>
          <w:rFonts w:ascii="Arial" w:hAnsi="Arial" w:cs="Arial"/>
          <w:sz w:val="21"/>
          <w:szCs w:val="24"/>
        </w:rPr>
        <w:t>), LAI (</w:t>
      </w:r>
      <w:r w:rsidRPr="00A97CD6">
        <w:rPr>
          <w:rFonts w:ascii="Arial" w:hAnsi="Arial" w:cs="Arial"/>
          <w:b/>
          <w:bCs/>
          <w:sz w:val="21"/>
          <w:szCs w:val="24"/>
        </w:rPr>
        <w:t>B</w:t>
      </w:r>
      <w:r w:rsidRPr="00A97CD6">
        <w:rPr>
          <w:rFonts w:ascii="Arial" w:hAnsi="Arial" w:cs="Arial"/>
          <w:sz w:val="21"/>
          <w:szCs w:val="24"/>
        </w:rPr>
        <w:t>), and SIF (</w:t>
      </w:r>
      <w:r w:rsidRPr="00A97CD6">
        <w:rPr>
          <w:rFonts w:ascii="Arial" w:hAnsi="Arial" w:cs="Arial"/>
          <w:b/>
          <w:bCs/>
          <w:sz w:val="21"/>
          <w:szCs w:val="24"/>
        </w:rPr>
        <w:t>C</w:t>
      </w:r>
      <w:r w:rsidRPr="00A97CD6">
        <w:rPr>
          <w:rFonts w:ascii="Arial" w:hAnsi="Arial" w:cs="Arial"/>
          <w:sz w:val="21"/>
          <w:szCs w:val="24"/>
        </w:rPr>
        <w:t>) to PM</w:t>
      </w:r>
      <w:r w:rsidRPr="00A97CD6">
        <w:rPr>
          <w:rFonts w:ascii="Arial" w:hAnsi="Arial" w:cs="Arial"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sz w:val="21"/>
          <w:szCs w:val="24"/>
        </w:rPr>
        <w:t xml:space="preserve"> pollution determined by</w:t>
      </w:r>
      <w:r w:rsidRPr="00A97CD6">
        <w:rPr>
          <w:rFonts w:ascii="Arial" w:hAnsi="Arial" w:cs="Arial"/>
          <w:b/>
          <w:bCs/>
          <w:sz w:val="21"/>
          <w:szCs w:val="24"/>
        </w:rPr>
        <w:t xml:space="preserve"> </w:t>
      </w:r>
      <w:r w:rsidRPr="00A97CD6">
        <w:rPr>
          <w:rFonts w:ascii="Arial" w:hAnsi="Arial" w:cs="Arial"/>
          <w:sz w:val="21"/>
          <w:szCs w:val="24"/>
        </w:rPr>
        <w:t>s</w:t>
      </w:r>
      <w:r w:rsidRPr="00A97CD6">
        <w:rPr>
          <w:rFonts w:ascii="Arial" w:hAnsi="Arial" w:cs="Arial" w:hint="eastAsia"/>
          <w:sz w:val="21"/>
          <w:szCs w:val="24"/>
        </w:rPr>
        <w:t>t</w:t>
      </w:r>
      <w:r w:rsidRPr="00A97CD6">
        <w:rPr>
          <w:rFonts w:ascii="Arial" w:hAnsi="Arial" w:cs="Arial"/>
          <w:sz w:val="21"/>
          <w:szCs w:val="24"/>
        </w:rPr>
        <w:t>epwise linear regression analyses. D-F, Sensitivity of NDVI (</w:t>
      </w:r>
      <w:r w:rsidRPr="00A97CD6">
        <w:rPr>
          <w:rFonts w:ascii="Arial" w:hAnsi="Arial" w:cs="Arial"/>
          <w:b/>
          <w:bCs/>
          <w:sz w:val="21"/>
          <w:szCs w:val="24"/>
        </w:rPr>
        <w:t>D</w:t>
      </w:r>
      <w:r w:rsidRPr="00A97CD6">
        <w:rPr>
          <w:rFonts w:ascii="Arial" w:hAnsi="Arial" w:cs="Arial"/>
          <w:sz w:val="21"/>
          <w:szCs w:val="24"/>
        </w:rPr>
        <w:t>), LAI (</w:t>
      </w:r>
      <w:r w:rsidRPr="00A97CD6">
        <w:rPr>
          <w:rFonts w:ascii="Arial" w:hAnsi="Arial" w:cs="Arial"/>
          <w:b/>
          <w:bCs/>
          <w:sz w:val="21"/>
          <w:szCs w:val="24"/>
        </w:rPr>
        <w:t>E</w:t>
      </w:r>
      <w:r w:rsidRPr="00A97CD6">
        <w:rPr>
          <w:rFonts w:ascii="Arial" w:hAnsi="Arial" w:cs="Arial"/>
          <w:sz w:val="21"/>
          <w:szCs w:val="24"/>
        </w:rPr>
        <w:t>), and SIF (</w:t>
      </w:r>
      <w:r w:rsidRPr="00A97CD6">
        <w:rPr>
          <w:rFonts w:ascii="Arial" w:hAnsi="Arial" w:cs="Arial"/>
          <w:b/>
          <w:bCs/>
          <w:sz w:val="21"/>
          <w:szCs w:val="24"/>
        </w:rPr>
        <w:t>F</w:t>
      </w:r>
      <w:r w:rsidRPr="00A97CD6">
        <w:rPr>
          <w:rFonts w:ascii="Arial" w:hAnsi="Arial" w:cs="Arial"/>
          <w:sz w:val="21"/>
          <w:szCs w:val="24"/>
        </w:rPr>
        <w:t>) to PM</w:t>
      </w:r>
      <w:r w:rsidRPr="00A97CD6">
        <w:rPr>
          <w:rFonts w:ascii="Arial" w:hAnsi="Arial" w:cs="Arial"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sz w:val="21"/>
          <w:szCs w:val="24"/>
        </w:rPr>
        <w:t xml:space="preserve"> and climatic factors (i.e., CO</w:t>
      </w:r>
      <w:r w:rsidRPr="00A97CD6">
        <w:rPr>
          <w:rFonts w:ascii="Arial" w:hAnsi="Arial" w:cs="Arial"/>
          <w:sz w:val="21"/>
          <w:szCs w:val="24"/>
          <w:vertAlign w:val="subscript"/>
        </w:rPr>
        <w:t>2</w:t>
      </w:r>
      <w:r w:rsidRPr="00A97CD6">
        <w:rPr>
          <w:rFonts w:ascii="Arial" w:hAnsi="Arial" w:cs="Arial"/>
          <w:sz w:val="21"/>
          <w:szCs w:val="24"/>
        </w:rPr>
        <w:t>, temperature, precipitation, and VPD) involved in the stepwise linear regression analyses.</w:t>
      </w:r>
    </w:p>
    <w:p w14:paraId="1D8D3226" w14:textId="77777777" w:rsidR="007D1D90" w:rsidRPr="00FD6F8A" w:rsidRDefault="007D1D90" w:rsidP="007D1D90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FD6F8A">
        <w:rPr>
          <w:noProof/>
          <w:lang w:eastAsia="zh-CN"/>
        </w:rPr>
        <w:lastRenderedPageBreak/>
        <w:drawing>
          <wp:inline distT="0" distB="0" distL="0" distR="0" wp14:anchorId="634FF376" wp14:editId="0D3BE00B">
            <wp:extent cx="5940988" cy="4086224"/>
            <wp:effectExtent l="0" t="0" r="317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988" cy="4086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C9AD8D" w14:textId="77777777" w:rsidR="007D1D90" w:rsidRPr="00FD6F8A" w:rsidRDefault="007D1D90" w:rsidP="007D1D90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A97CD6">
        <w:rPr>
          <w:rFonts w:ascii="Arial" w:hAnsi="Arial" w:cs="Arial"/>
          <w:b/>
          <w:bCs/>
          <w:sz w:val="21"/>
          <w:szCs w:val="24"/>
        </w:rPr>
        <w:t>Fig. 3 | Impacts of PM</w:t>
      </w:r>
      <w:r w:rsidRPr="00A97CD6">
        <w:rPr>
          <w:rFonts w:ascii="Arial" w:hAnsi="Arial" w:cs="Arial"/>
          <w:b/>
          <w:bCs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b/>
          <w:bCs/>
          <w:sz w:val="21"/>
          <w:szCs w:val="24"/>
        </w:rPr>
        <w:t xml:space="preserve"> and climate change on spring greening at global scale. A, </w:t>
      </w:r>
      <w:r w:rsidRPr="00A97CD6">
        <w:rPr>
          <w:rFonts w:ascii="Arial" w:hAnsi="Arial" w:cs="Arial"/>
          <w:sz w:val="21"/>
          <w:szCs w:val="24"/>
        </w:rPr>
        <w:t>Sensitivity of NDVI, LAI, and SIF to PM</w:t>
      </w:r>
      <w:r w:rsidRPr="00A97CD6">
        <w:rPr>
          <w:rFonts w:ascii="Arial" w:hAnsi="Arial" w:cs="Arial"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sz w:val="21"/>
          <w:szCs w:val="24"/>
        </w:rPr>
        <w:t xml:space="preserve"> and climatic factors (i.e., CO</w:t>
      </w:r>
      <w:r w:rsidRPr="00A97CD6">
        <w:rPr>
          <w:rFonts w:ascii="Arial" w:hAnsi="Arial" w:cs="Arial"/>
          <w:sz w:val="21"/>
          <w:szCs w:val="24"/>
          <w:vertAlign w:val="subscript"/>
        </w:rPr>
        <w:t>2</w:t>
      </w:r>
      <w:r w:rsidRPr="00A97CD6">
        <w:rPr>
          <w:rFonts w:ascii="Arial" w:hAnsi="Arial" w:cs="Arial"/>
          <w:sz w:val="21"/>
          <w:szCs w:val="24"/>
        </w:rPr>
        <w:t xml:space="preserve">, temperature, precipitation, and VPD) involved in the stepwise linear regression analyses. </w:t>
      </w:r>
      <w:r w:rsidRPr="00A97CD6">
        <w:rPr>
          <w:rFonts w:ascii="Arial" w:hAnsi="Arial" w:cs="Arial"/>
          <w:b/>
          <w:bCs/>
          <w:sz w:val="21"/>
          <w:szCs w:val="24"/>
        </w:rPr>
        <w:t>B</w:t>
      </w:r>
      <w:r w:rsidRPr="00A97CD6">
        <w:rPr>
          <w:rFonts w:ascii="Arial" w:hAnsi="Arial" w:cs="Arial"/>
          <w:sz w:val="21"/>
          <w:szCs w:val="24"/>
        </w:rPr>
        <w:t>, Relative frequency of the entry of five variables into the model when constructing stepwise regression models with different vegetation indices (i.e., NDVI, LAI, and SIF) as the dependent variables.</w:t>
      </w:r>
    </w:p>
    <w:p w14:paraId="7013DA94" w14:textId="77777777" w:rsidR="007D1D90" w:rsidRPr="00FD6F8A" w:rsidRDefault="007D1D90" w:rsidP="007D1D90">
      <w:pPr>
        <w:spacing w:line="480" w:lineRule="auto"/>
        <w:jc w:val="center"/>
        <w:rPr>
          <w:rFonts w:ascii="Arial" w:hAnsi="Arial" w:cs="Arial"/>
          <w:sz w:val="24"/>
          <w:szCs w:val="24"/>
        </w:rPr>
      </w:pPr>
      <w:r w:rsidRPr="00FD6F8A">
        <w:rPr>
          <w:noProof/>
          <w:lang w:eastAsia="zh-CN"/>
        </w:rPr>
        <w:lastRenderedPageBreak/>
        <w:drawing>
          <wp:inline distT="0" distB="0" distL="0" distR="0" wp14:anchorId="4D0EC83B" wp14:editId="4B246F27">
            <wp:extent cx="5225051" cy="495578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051" cy="4955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5503C" w14:textId="77777777" w:rsidR="007D1D90" w:rsidRPr="00A97CD6" w:rsidRDefault="007D1D90" w:rsidP="007D1D90">
      <w:pPr>
        <w:spacing w:line="480" w:lineRule="auto"/>
        <w:jc w:val="both"/>
        <w:rPr>
          <w:rFonts w:ascii="Arial" w:hAnsi="Arial" w:cs="Arial"/>
          <w:sz w:val="21"/>
          <w:szCs w:val="24"/>
        </w:rPr>
      </w:pPr>
      <w:r w:rsidRPr="00A97CD6">
        <w:rPr>
          <w:rFonts w:ascii="Arial" w:hAnsi="Arial" w:cs="Arial"/>
          <w:b/>
          <w:bCs/>
          <w:sz w:val="21"/>
          <w:szCs w:val="24"/>
        </w:rPr>
        <w:t xml:space="preserve">Fig. 4 | </w:t>
      </w:r>
      <w:r w:rsidRPr="00A97CD6">
        <w:rPr>
          <w:rFonts w:ascii="Arial" w:hAnsi="Arial" w:cs="Arial"/>
          <w:b/>
          <w:sz w:val="21"/>
          <w:szCs w:val="24"/>
        </w:rPr>
        <w:t>Sensitivity of spring greening indicators (i.e., NDVI, LAI, and SIF) to PM</w:t>
      </w:r>
      <w:r w:rsidRPr="00A97CD6">
        <w:rPr>
          <w:rFonts w:ascii="Arial" w:hAnsi="Arial" w:cs="Arial"/>
          <w:b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b/>
          <w:sz w:val="21"/>
          <w:szCs w:val="24"/>
        </w:rPr>
        <w:t xml:space="preserve"> concentrations as analyzed through ridge regression</w:t>
      </w:r>
      <w:r w:rsidRPr="00A97CD6">
        <w:rPr>
          <w:rFonts w:ascii="Arial" w:hAnsi="Arial" w:cs="Arial"/>
          <w:b/>
          <w:bCs/>
          <w:sz w:val="21"/>
          <w:szCs w:val="24"/>
        </w:rPr>
        <w:t xml:space="preserve">. </w:t>
      </w:r>
      <w:r w:rsidRPr="00A97CD6">
        <w:rPr>
          <w:rFonts w:ascii="Arial" w:hAnsi="Arial" w:cs="Arial"/>
          <w:sz w:val="21"/>
          <w:szCs w:val="24"/>
        </w:rPr>
        <w:t>The greening indicators that used as dependent variables in the ridge regression include NDVI, LAI, and SIF. Apart from PM</w:t>
      </w:r>
      <w:r w:rsidRPr="00A97CD6">
        <w:rPr>
          <w:rFonts w:ascii="Arial" w:hAnsi="Arial" w:cs="Arial"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sz w:val="21"/>
          <w:szCs w:val="24"/>
        </w:rPr>
        <w:t xml:space="preserve"> concentration, the analysis includes CO</w:t>
      </w:r>
      <w:r w:rsidRPr="00A97CD6">
        <w:rPr>
          <w:rFonts w:ascii="Arial" w:hAnsi="Arial" w:cs="Arial"/>
          <w:sz w:val="21"/>
          <w:szCs w:val="24"/>
          <w:vertAlign w:val="subscript"/>
        </w:rPr>
        <w:t>2</w:t>
      </w:r>
      <w:r w:rsidRPr="00A97CD6">
        <w:rPr>
          <w:rFonts w:ascii="Arial" w:hAnsi="Arial" w:cs="Arial"/>
          <w:sz w:val="21"/>
          <w:szCs w:val="24"/>
        </w:rPr>
        <w:t>, temperature, precipitation, and VPD as additional independent variables influencing these greening indicators.</w:t>
      </w:r>
    </w:p>
    <w:p w14:paraId="7AD3D9FF" w14:textId="77777777" w:rsidR="007D1D90" w:rsidRPr="00FD6F8A" w:rsidRDefault="007D1D90" w:rsidP="007D1D90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D6F8A">
        <w:rPr>
          <w:rFonts w:ascii="Arial" w:hAnsi="Arial" w:cs="Arial"/>
          <w:b/>
          <w:bCs/>
          <w:noProof/>
          <w:sz w:val="24"/>
          <w:szCs w:val="24"/>
          <w:lang w:eastAsia="zh-CN"/>
        </w:rPr>
        <w:lastRenderedPageBreak/>
        <w:drawing>
          <wp:inline distT="0" distB="0" distL="0" distR="0" wp14:anchorId="4FC8FE56" wp14:editId="6CD21AE8">
            <wp:extent cx="5943599" cy="4425114"/>
            <wp:effectExtent l="0" t="0" r="63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599" cy="4425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F016D" w14:textId="77777777" w:rsidR="007D1D90" w:rsidRDefault="007D1D90" w:rsidP="007D1D90">
      <w:pPr>
        <w:spacing w:line="480" w:lineRule="auto"/>
        <w:jc w:val="both"/>
        <w:rPr>
          <w:rFonts w:ascii="Arial" w:hAnsi="Arial" w:cs="Arial"/>
          <w:bCs/>
          <w:sz w:val="21"/>
          <w:szCs w:val="24"/>
        </w:rPr>
      </w:pPr>
      <w:r w:rsidRPr="00A97CD6">
        <w:rPr>
          <w:rFonts w:ascii="Arial" w:hAnsi="Arial" w:cs="Arial"/>
          <w:b/>
          <w:bCs/>
          <w:sz w:val="21"/>
          <w:szCs w:val="24"/>
        </w:rPr>
        <w:t xml:space="preserve">Fig. 5 | </w:t>
      </w:r>
      <w:r w:rsidRPr="00A97CD6">
        <w:rPr>
          <w:rFonts w:ascii="Arial" w:hAnsi="Arial" w:cs="Arial"/>
          <w:b/>
          <w:sz w:val="21"/>
          <w:szCs w:val="24"/>
        </w:rPr>
        <w:t>PM</w:t>
      </w:r>
      <w:r w:rsidRPr="00A97CD6">
        <w:rPr>
          <w:rFonts w:ascii="Arial" w:hAnsi="Arial" w:cs="Arial"/>
          <w:b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b/>
          <w:sz w:val="21"/>
          <w:szCs w:val="24"/>
        </w:rPr>
        <w:t>-driven ozone (O</w:t>
      </w:r>
      <w:r w:rsidRPr="00A97CD6">
        <w:rPr>
          <w:rFonts w:ascii="Arial" w:hAnsi="Arial" w:cs="Arial"/>
          <w:b/>
          <w:sz w:val="21"/>
          <w:szCs w:val="24"/>
          <w:vertAlign w:val="subscript"/>
        </w:rPr>
        <w:t>3</w:t>
      </w:r>
      <w:r w:rsidRPr="00A97CD6">
        <w:rPr>
          <w:rFonts w:ascii="Arial" w:hAnsi="Arial" w:cs="Arial"/>
          <w:b/>
          <w:sz w:val="21"/>
          <w:szCs w:val="24"/>
        </w:rPr>
        <w:t>) shift and impacts on vegetation photosynthesis</w:t>
      </w:r>
      <w:r w:rsidRPr="00A97CD6">
        <w:rPr>
          <w:rFonts w:ascii="Arial" w:hAnsi="Arial" w:cs="Arial"/>
          <w:b/>
          <w:bCs/>
          <w:sz w:val="21"/>
          <w:szCs w:val="24"/>
        </w:rPr>
        <w:t>. A</w:t>
      </w:r>
      <w:r w:rsidRPr="00A97CD6">
        <w:rPr>
          <w:rFonts w:ascii="Arial" w:hAnsi="Arial" w:cs="Arial"/>
          <w:sz w:val="21"/>
          <w:szCs w:val="24"/>
        </w:rPr>
        <w:t xml:space="preserve">, </w:t>
      </w:r>
      <w:r w:rsidRPr="00A97CD6">
        <w:rPr>
          <w:rFonts w:ascii="Arial" w:hAnsi="Arial" w:cs="Arial"/>
          <w:b/>
          <w:bCs/>
          <w:sz w:val="21"/>
          <w:szCs w:val="24"/>
        </w:rPr>
        <w:t>C</w:t>
      </w:r>
      <w:r w:rsidRPr="00A97CD6">
        <w:rPr>
          <w:rFonts w:ascii="Arial" w:hAnsi="Arial" w:cs="Arial"/>
          <w:sz w:val="21"/>
          <w:szCs w:val="24"/>
        </w:rPr>
        <w:t xml:space="preserve">, The relationship between near-surface </w:t>
      </w:r>
      <w:r w:rsidRPr="00A97CD6">
        <w:rPr>
          <w:rFonts w:ascii="Arial" w:hAnsi="Arial" w:cs="Arial"/>
          <w:bCs/>
          <w:sz w:val="21"/>
          <w:szCs w:val="24"/>
        </w:rPr>
        <w:t>PM</w:t>
      </w:r>
      <w:r w:rsidRPr="00A97CD6">
        <w:rPr>
          <w:rFonts w:ascii="Arial" w:hAnsi="Arial" w:cs="Arial"/>
          <w:bCs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bCs/>
          <w:sz w:val="21"/>
          <w:szCs w:val="24"/>
        </w:rPr>
        <w:t xml:space="preserve"> and O</w:t>
      </w:r>
      <w:r w:rsidRPr="00A97CD6">
        <w:rPr>
          <w:rFonts w:ascii="Arial" w:hAnsi="Arial" w:cs="Arial"/>
          <w:bCs/>
          <w:sz w:val="21"/>
          <w:szCs w:val="24"/>
          <w:vertAlign w:val="subscript"/>
        </w:rPr>
        <w:t>3</w:t>
      </w:r>
      <w:r w:rsidRPr="00A97CD6">
        <w:rPr>
          <w:rFonts w:ascii="Arial" w:hAnsi="Arial" w:cs="Arial"/>
          <w:bCs/>
          <w:sz w:val="21"/>
          <w:szCs w:val="24"/>
        </w:rPr>
        <w:t xml:space="preserve"> in spring for ground observations in the USA (</w:t>
      </w:r>
      <w:r w:rsidRPr="00A97CD6">
        <w:rPr>
          <w:rFonts w:ascii="Arial" w:hAnsi="Arial" w:cs="Arial"/>
          <w:b/>
          <w:sz w:val="21"/>
          <w:szCs w:val="24"/>
        </w:rPr>
        <w:t>A</w:t>
      </w:r>
      <w:r w:rsidRPr="00A97CD6">
        <w:rPr>
          <w:rFonts w:ascii="Arial" w:hAnsi="Arial" w:cs="Arial"/>
          <w:bCs/>
          <w:sz w:val="21"/>
          <w:szCs w:val="24"/>
        </w:rPr>
        <w:t>) and Europe (</w:t>
      </w:r>
      <w:r w:rsidRPr="00A97CD6">
        <w:rPr>
          <w:rFonts w:ascii="Arial" w:hAnsi="Arial" w:cs="Arial"/>
          <w:b/>
          <w:sz w:val="21"/>
          <w:szCs w:val="24"/>
        </w:rPr>
        <w:t>C</w:t>
      </w:r>
      <w:r w:rsidRPr="00A97CD6">
        <w:rPr>
          <w:rFonts w:ascii="Arial" w:hAnsi="Arial" w:cs="Arial"/>
          <w:bCs/>
          <w:sz w:val="21"/>
          <w:szCs w:val="24"/>
        </w:rPr>
        <w:t xml:space="preserve">). </w:t>
      </w:r>
      <w:r w:rsidRPr="00A97CD6">
        <w:rPr>
          <w:rFonts w:ascii="Arial" w:hAnsi="Arial" w:cs="Arial"/>
          <w:b/>
          <w:sz w:val="21"/>
          <w:szCs w:val="24"/>
        </w:rPr>
        <w:t>B</w:t>
      </w:r>
      <w:r w:rsidRPr="00A97CD6">
        <w:rPr>
          <w:rFonts w:ascii="Arial" w:hAnsi="Arial" w:cs="Arial"/>
          <w:bCs/>
          <w:sz w:val="21"/>
          <w:szCs w:val="24"/>
        </w:rPr>
        <w:t xml:space="preserve">, </w:t>
      </w:r>
      <w:r w:rsidRPr="00A97CD6">
        <w:rPr>
          <w:rFonts w:ascii="Arial" w:hAnsi="Arial" w:cs="Arial"/>
          <w:b/>
          <w:sz w:val="21"/>
          <w:szCs w:val="24"/>
        </w:rPr>
        <w:t>D</w:t>
      </w:r>
      <w:r w:rsidRPr="00A97CD6">
        <w:rPr>
          <w:rFonts w:ascii="Arial" w:hAnsi="Arial" w:cs="Arial"/>
          <w:bCs/>
          <w:sz w:val="21"/>
          <w:szCs w:val="24"/>
        </w:rPr>
        <w:t>, The relationship between O</w:t>
      </w:r>
      <w:r w:rsidRPr="00A97CD6">
        <w:rPr>
          <w:rFonts w:ascii="Arial" w:hAnsi="Arial" w:cs="Arial"/>
          <w:bCs/>
          <w:sz w:val="21"/>
          <w:szCs w:val="24"/>
          <w:vertAlign w:val="subscript"/>
        </w:rPr>
        <w:t>3</w:t>
      </w:r>
      <w:r w:rsidRPr="00A97CD6">
        <w:rPr>
          <w:rFonts w:ascii="Arial" w:hAnsi="Arial" w:cs="Arial"/>
          <w:bCs/>
          <w:sz w:val="21"/>
          <w:szCs w:val="24"/>
        </w:rPr>
        <w:t xml:space="preserve"> and SIF in spring for the USA (</w:t>
      </w:r>
      <w:r w:rsidRPr="00A97CD6">
        <w:rPr>
          <w:rFonts w:ascii="Arial" w:hAnsi="Arial" w:cs="Arial"/>
          <w:b/>
          <w:sz w:val="21"/>
          <w:szCs w:val="24"/>
        </w:rPr>
        <w:t>B</w:t>
      </w:r>
      <w:r w:rsidRPr="00A97CD6">
        <w:rPr>
          <w:rFonts w:ascii="Arial" w:hAnsi="Arial" w:cs="Arial"/>
          <w:bCs/>
          <w:sz w:val="21"/>
          <w:szCs w:val="24"/>
        </w:rPr>
        <w:t>) and Europe (</w:t>
      </w:r>
      <w:r w:rsidRPr="00A97CD6">
        <w:rPr>
          <w:rFonts w:ascii="Arial" w:hAnsi="Arial" w:cs="Arial"/>
          <w:b/>
          <w:sz w:val="21"/>
          <w:szCs w:val="24"/>
        </w:rPr>
        <w:t>D</w:t>
      </w:r>
      <w:r w:rsidRPr="00A97CD6">
        <w:rPr>
          <w:rFonts w:ascii="Arial" w:hAnsi="Arial" w:cs="Arial"/>
          <w:bCs/>
          <w:sz w:val="21"/>
          <w:szCs w:val="24"/>
        </w:rPr>
        <w:t>). The density scatter plots represent the relationships between anomalies of PM</w:t>
      </w:r>
      <w:r w:rsidRPr="00A97CD6">
        <w:rPr>
          <w:rFonts w:ascii="Arial" w:hAnsi="Arial" w:cs="Arial"/>
          <w:bCs/>
          <w:sz w:val="21"/>
          <w:szCs w:val="24"/>
          <w:vertAlign w:val="subscript"/>
        </w:rPr>
        <w:t>2.5</w:t>
      </w:r>
      <w:r w:rsidRPr="00A97CD6">
        <w:rPr>
          <w:rFonts w:ascii="Arial" w:hAnsi="Arial" w:cs="Arial"/>
          <w:bCs/>
          <w:sz w:val="21"/>
          <w:szCs w:val="24"/>
        </w:rPr>
        <w:t xml:space="preserve"> and anomalies of O</w:t>
      </w:r>
      <w:r w:rsidRPr="00A97CD6">
        <w:rPr>
          <w:rFonts w:ascii="Arial" w:hAnsi="Arial" w:cs="Arial"/>
          <w:bCs/>
          <w:sz w:val="21"/>
          <w:szCs w:val="24"/>
          <w:vertAlign w:val="subscript"/>
        </w:rPr>
        <w:t>3</w:t>
      </w:r>
      <w:r w:rsidRPr="00A97CD6">
        <w:rPr>
          <w:rFonts w:ascii="Arial" w:hAnsi="Arial" w:cs="Arial"/>
          <w:bCs/>
          <w:sz w:val="21"/>
          <w:szCs w:val="24"/>
        </w:rPr>
        <w:t xml:space="preserve"> (</w:t>
      </w:r>
      <w:r w:rsidRPr="00A97CD6">
        <w:rPr>
          <w:rFonts w:ascii="Arial" w:hAnsi="Arial" w:cs="Arial"/>
          <w:b/>
          <w:sz w:val="21"/>
          <w:szCs w:val="24"/>
        </w:rPr>
        <w:t>A</w:t>
      </w:r>
      <w:r w:rsidRPr="00A97CD6">
        <w:rPr>
          <w:rFonts w:ascii="Arial" w:hAnsi="Arial" w:cs="Arial"/>
          <w:bCs/>
          <w:sz w:val="21"/>
          <w:szCs w:val="24"/>
        </w:rPr>
        <w:t xml:space="preserve">, </w:t>
      </w:r>
      <w:r w:rsidRPr="00A97CD6">
        <w:rPr>
          <w:rFonts w:ascii="Arial" w:hAnsi="Arial" w:cs="Arial"/>
          <w:b/>
          <w:sz w:val="21"/>
          <w:szCs w:val="24"/>
        </w:rPr>
        <w:t>C</w:t>
      </w:r>
      <w:r w:rsidRPr="00A97CD6">
        <w:rPr>
          <w:rFonts w:ascii="Arial" w:hAnsi="Arial" w:cs="Arial"/>
          <w:bCs/>
          <w:sz w:val="21"/>
          <w:szCs w:val="24"/>
        </w:rPr>
        <w:t>) and between anomalies of O</w:t>
      </w:r>
      <w:r w:rsidRPr="00A97CD6">
        <w:rPr>
          <w:rFonts w:ascii="Arial" w:hAnsi="Arial" w:cs="Arial"/>
          <w:bCs/>
          <w:sz w:val="21"/>
          <w:szCs w:val="24"/>
          <w:vertAlign w:val="subscript"/>
        </w:rPr>
        <w:t>3</w:t>
      </w:r>
      <w:r w:rsidRPr="00A97CD6">
        <w:rPr>
          <w:rFonts w:ascii="Arial" w:hAnsi="Arial" w:cs="Arial"/>
          <w:bCs/>
          <w:sz w:val="21"/>
          <w:szCs w:val="24"/>
        </w:rPr>
        <w:t xml:space="preserve"> and anomalies of SIF (</w:t>
      </w:r>
      <w:r w:rsidRPr="00A97CD6">
        <w:rPr>
          <w:rFonts w:ascii="Arial" w:hAnsi="Arial" w:cs="Arial"/>
          <w:b/>
          <w:sz w:val="21"/>
          <w:szCs w:val="24"/>
        </w:rPr>
        <w:t>B</w:t>
      </w:r>
      <w:r w:rsidRPr="00A97CD6">
        <w:rPr>
          <w:rFonts w:ascii="Arial" w:hAnsi="Arial" w:cs="Arial"/>
          <w:bCs/>
          <w:sz w:val="21"/>
          <w:szCs w:val="24"/>
        </w:rPr>
        <w:t xml:space="preserve">, </w:t>
      </w:r>
      <w:r w:rsidRPr="00A97CD6">
        <w:rPr>
          <w:rFonts w:ascii="Arial" w:hAnsi="Arial" w:cs="Arial"/>
          <w:b/>
          <w:sz w:val="21"/>
          <w:szCs w:val="24"/>
        </w:rPr>
        <w:t>D</w:t>
      </w:r>
      <w:r w:rsidRPr="00A97CD6">
        <w:rPr>
          <w:rFonts w:ascii="Arial" w:hAnsi="Arial" w:cs="Arial"/>
          <w:bCs/>
          <w:sz w:val="21"/>
          <w:szCs w:val="24"/>
        </w:rPr>
        <w:t>). The bars in the corner represent the site-level distribution of positive and negative correlations.</w:t>
      </w:r>
    </w:p>
    <w:p w14:paraId="5F0342C1" w14:textId="04220299" w:rsidR="00755780" w:rsidRPr="007D1D90" w:rsidRDefault="00755780">
      <w:pPr>
        <w:rPr>
          <w:rFonts w:ascii="Arial" w:hAnsi="Arial" w:cs="Arial"/>
          <w:bCs/>
          <w:sz w:val="21"/>
          <w:szCs w:val="24"/>
        </w:rPr>
      </w:pPr>
    </w:p>
    <w:sectPr w:rsidR="00755780" w:rsidRPr="007D1D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D90"/>
    <w:rsid w:val="00755780"/>
    <w:rsid w:val="007D1D9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5D97D"/>
  <w15:chartTrackingRefBased/>
  <w15:docId w15:val="{CC793905-0CE4-47AE-A46F-741EE49FD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D90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7D1D90"/>
    <w:pPr>
      <w:spacing w:before="120"/>
      <w:ind w:firstLine="720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436</Words>
  <Characters>2488</Characters>
  <Application>Microsoft Office Word</Application>
  <DocSecurity>0</DocSecurity>
  <Lines>20</Lines>
  <Paragraphs>5</Paragraphs>
  <ScaleCrop>false</ScaleCrop>
  <Company>Springer Nature</Company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2024-02-02T06:13:00Z</dcterms:created>
  <dcterms:modified xsi:type="dcterms:W3CDTF">2024-02-02T06:13:00Z</dcterms:modified>
</cp:coreProperties>
</file>