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360" w:lineRule="auto"/>
        <w:jc w:val="center"/>
        <w:rPr>
          <w:b w:val="0"/>
          <w:sz w:val="32"/>
          <w:szCs w:val="32"/>
        </w:rPr>
      </w:pPr>
      <w:r>
        <w:rPr>
          <w:rFonts w:hint="eastAsia" w:eastAsia="宋体"/>
          <w:b w:val="0"/>
          <w:sz w:val="32"/>
          <w:szCs w:val="32"/>
          <w:lang w:val="en-US" w:eastAsia="zh-CN"/>
        </w:rPr>
        <w:t>a</w:t>
      </w:r>
      <w:bookmarkStart w:id="0" w:name="_GoBack"/>
      <w:bookmarkEnd w:id="0"/>
      <w:r>
        <w:rPr>
          <w:b w:val="0"/>
          <w:sz w:val="32"/>
          <w:szCs w:val="32"/>
        </w:rPr>
        <w:t>Supporting Information</w:t>
      </w:r>
    </w:p>
    <w:p>
      <w:pPr>
        <w:spacing w:line="360" w:lineRule="auto"/>
        <w:rPr>
          <w:rFonts w:eastAsia="宋体"/>
          <w:b/>
          <w:bCs/>
        </w:rPr>
      </w:pPr>
      <w:r>
        <w:rPr>
          <w:rFonts w:eastAsia="宋体"/>
          <w:b/>
          <w:bCs/>
        </w:rPr>
        <w:t xml:space="preserve"> </w:t>
      </w:r>
    </w:p>
    <w:p>
      <w:pPr>
        <w:spacing w:line="360" w:lineRule="auto"/>
        <w:rPr>
          <w:rFonts w:eastAsia="宋体"/>
          <w:b/>
          <w:bCs/>
        </w:rPr>
      </w:pPr>
      <w:r>
        <w:rPr>
          <w:rFonts w:hint="eastAsia" w:eastAsia="宋体"/>
          <w:b/>
          <w:bCs/>
        </w:rPr>
        <w:t>Mechanically Enhanced 3D Printable Photocurable Resin Composed of Epoxy Waste Cooking Oil and Triethylene Glycol Dimethacrylate</w:t>
      </w:r>
    </w:p>
    <w:p>
      <w:pPr>
        <w:pStyle w:val="9"/>
        <w:spacing w:line="360" w:lineRule="auto"/>
      </w:pPr>
      <w:r>
        <w:rPr>
          <w:rFonts w:hint="eastAsia"/>
        </w:rPr>
        <w:t xml:space="preserve">Meng-Yu Liu, Gui-Mei Li, Peng-Yu Wang, </w:t>
      </w:r>
      <w:r>
        <w:t xml:space="preserve">Wan-Ying Ying, </w:t>
      </w:r>
      <w:r>
        <w:rPr>
          <w:rFonts w:hint="eastAsia"/>
        </w:rPr>
        <w:t>Yang Yang, Chuan-Yang Tang</w:t>
      </w:r>
      <w:r>
        <w:rPr>
          <w:rFonts w:hint="eastAsia" w:eastAsia="宋体"/>
        </w:rPr>
        <w:t>,</w:t>
      </w:r>
      <w:r>
        <w:rPr>
          <w:rFonts w:hint="eastAsia"/>
        </w:rPr>
        <w:t xml:space="preserve"> </w:t>
      </w:r>
      <w:r>
        <w:rPr>
          <w:rFonts w:hint="eastAsia" w:eastAsia="宋体"/>
        </w:rPr>
        <w:t xml:space="preserve">Ying-Ying Li </w:t>
      </w:r>
      <w:r>
        <w:rPr>
          <w:rFonts w:hint="eastAsia"/>
        </w:rPr>
        <w:t>and Shuo-Ping Chen</w:t>
      </w:r>
      <w:r>
        <w:t>*</w:t>
      </w:r>
    </w:p>
    <w:p>
      <w:pPr>
        <w:spacing w:line="360" w:lineRule="auto"/>
        <w:rPr>
          <w:rFonts w:eastAsia="宋体"/>
        </w:rPr>
      </w:pPr>
      <w:r>
        <w:rPr>
          <w:rFonts w:eastAsia="宋体"/>
        </w:rPr>
        <w:t xml:space="preserve"> </w:t>
      </w:r>
    </w:p>
    <w:p>
      <w:pPr>
        <w:spacing w:line="360" w:lineRule="auto"/>
        <w:rPr>
          <w:rFonts w:eastAsia="宋体"/>
        </w:rPr>
      </w:pPr>
      <w:r>
        <w:rPr>
          <w:rFonts w:hint="eastAsia" w:eastAsia="宋体"/>
        </w:rPr>
        <w:t>College of Materials Science and Engineering, Guilin University of Technology, Guilin 541004, China</w:t>
      </w:r>
    </w:p>
    <w:p>
      <w:pPr>
        <w:widowControl w:val="0"/>
        <w:numPr>
          <w:ilvl w:val="0"/>
          <w:numId w:val="1"/>
        </w:numPr>
        <w:spacing w:line="360" w:lineRule="auto"/>
        <w:rPr>
          <w:rFonts w:eastAsia="宋体"/>
        </w:rPr>
      </w:pPr>
      <w:r>
        <w:rPr>
          <w:rFonts w:hint="eastAsia" w:eastAsia="宋体"/>
        </w:rPr>
        <w:t xml:space="preserve">Liu, 2120210291@glut.edu.cn, G. Li, 3243907527@qq.com, P. Wang, 2120220368@glut.edu.cn, W. Ying, 2120210327@glut.edu.cn, Y. Yang, 839840447@qq.com, C. Tang, 2281220100@qq.com, Y. Li, 461191750@qq.com </w:t>
      </w:r>
    </w:p>
    <w:p>
      <w:pPr>
        <w:pStyle w:val="8"/>
        <w:spacing w:line="360" w:lineRule="auto"/>
        <w:rPr>
          <w:rFonts w:eastAsia="宋体"/>
        </w:rPr>
      </w:pPr>
      <w:r>
        <w:rPr>
          <w:rFonts w:hint="eastAsia" w:eastAsia="宋体"/>
        </w:rPr>
        <w:t>*Corresponding author: Shuo-Ping Chen. E-mail address: 2012014@glut.edu.cn.</w:t>
      </w:r>
    </w:p>
    <w:p>
      <w:pPr>
        <w:pStyle w:val="8"/>
        <w:spacing w:line="360" w:lineRule="auto"/>
        <w:rPr>
          <w:rFonts w:hint="eastAsia" w:eastAsia="宋体"/>
        </w:rPr>
      </w:pPr>
      <w:r>
        <w:rPr>
          <w:rFonts w:hint="eastAsia" w:eastAsia="宋体"/>
        </w:rPr>
        <w:t xml:space="preserve">Phone: +86-773-5896672. Fax: +86-773-5896671. </w:t>
      </w:r>
      <w:r>
        <w:rPr>
          <w:rFonts w:hint="eastAsia"/>
        </w:rPr>
        <w:t>https://orcid.org/0000-0001-5160-9869</w:t>
      </w:r>
      <w:r>
        <w:rPr>
          <w:rFonts w:hint="eastAsia" w:eastAsia="宋体"/>
        </w:rPr>
        <w:t>.</w:t>
      </w:r>
    </w:p>
    <w:p>
      <w:pPr>
        <w:widowControl w:val="0"/>
        <w:spacing w:line="360" w:lineRule="auto"/>
        <w:rPr>
          <w:rFonts w:eastAsia="宋体"/>
        </w:rPr>
      </w:pPr>
      <w:r>
        <w:rPr>
          <w:rFonts w:eastAsia="宋体"/>
        </w:rPr>
        <w:t xml:space="preserve"> </w:t>
      </w:r>
    </w:p>
    <w:p>
      <w:r>
        <w:br w:type="page"/>
      </w:r>
    </w:p>
    <w:p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L</w:t>
      </w:r>
      <w:r>
        <w:rPr>
          <w:b/>
          <w:bCs/>
        </w:rPr>
        <w:t>ist</w:t>
      </w:r>
    </w:p>
    <w:p>
      <w:pPr>
        <w:spacing w:line="360" w:lineRule="auto"/>
        <w:rPr>
          <w:rFonts w:hint="default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 xml:space="preserve">S1. </w:t>
      </w:r>
      <w:r>
        <w:rPr>
          <w:rFonts w:hint="eastAsia"/>
          <w:b w:val="0"/>
          <w:bCs w:val="0"/>
          <w:highlight w:val="none"/>
        </w:rPr>
        <w:t>Synthesis</w:t>
      </w:r>
      <w:r>
        <w:rPr>
          <w:rFonts w:hint="eastAsia" w:eastAsia="宋体"/>
          <w:b w:val="0"/>
          <w:bCs w:val="0"/>
          <w:highlight w:val="none"/>
          <w:lang w:val="en-US" w:eastAsia="zh-CN"/>
        </w:rPr>
        <w:t xml:space="preserve"> of E-WCO</w:t>
      </w:r>
    </w:p>
    <w:p>
      <w:pPr>
        <w:pStyle w:val="11"/>
        <w:rPr>
          <w:rFonts w:hint="default" w:eastAsia="宋体"/>
          <w:b w:val="0"/>
          <w:bCs/>
          <w:lang w:val="en-US" w:eastAsia="zh-CN"/>
        </w:rPr>
      </w:pPr>
      <w:r>
        <w:rPr>
          <w:rFonts w:hint="eastAsia" w:eastAsia="宋体"/>
          <w:lang w:val="en-US" w:eastAsia="zh-CN"/>
        </w:rPr>
        <w:t>S2.</w:t>
      </w:r>
      <w:r>
        <w:rPr>
          <w:rFonts w:hint="eastAsia" w:eastAsia="宋体"/>
          <w:lang w:eastAsia="zh-CN"/>
        </w:rPr>
        <w:t xml:space="preserve"> </w:t>
      </w:r>
      <w:r>
        <w:rPr>
          <w:rFonts w:hint="eastAsia"/>
          <w:b w:val="0"/>
          <w:bCs/>
        </w:rPr>
        <w:t>Characterization</w:t>
      </w:r>
      <w:r>
        <w:rPr>
          <w:rFonts w:hint="eastAsia" w:eastAsia="宋体"/>
          <w:b w:val="0"/>
          <w:bCs/>
          <w:lang w:val="en-US" w:eastAsia="zh-CN"/>
        </w:rPr>
        <w:t xml:space="preserve"> </w:t>
      </w:r>
    </w:p>
    <w:p>
      <w:pPr>
        <w:spacing w:line="360" w:lineRule="auto"/>
        <w:rPr>
          <w:rFonts w:eastAsia="等线"/>
          <w:b/>
          <w:bCs/>
        </w:rPr>
      </w:pPr>
      <w:r>
        <w:rPr>
          <w:rFonts w:hint="eastAsia" w:eastAsia="等线"/>
          <w:b/>
          <w:bCs/>
        </w:rPr>
        <w:t xml:space="preserve">Table S1. </w:t>
      </w:r>
      <w:r>
        <w:rPr>
          <w:rFonts w:hint="eastAsia" w:eastAsia="等线"/>
          <w:b w:val="0"/>
          <w:bCs w:val="0"/>
        </w:rPr>
        <w:t xml:space="preserve">Fatty acid compositions (wt.%) of </w:t>
      </w:r>
      <w:r>
        <w:rPr>
          <w:rFonts w:hint="eastAsia" w:eastAsia="等线"/>
          <w:b w:val="0"/>
          <w:bCs w:val="0"/>
          <w:lang w:val="en-US" w:eastAsia="zh-CN"/>
        </w:rPr>
        <w:t>WCO</w:t>
      </w:r>
      <w:r>
        <w:rPr>
          <w:rFonts w:hint="eastAsia" w:eastAsia="等线"/>
          <w:b w:val="0"/>
          <w:bCs w:val="0"/>
        </w:rPr>
        <w:t>. Three main types of fatty acids: saturated (C n:0), monounsaturated (C n:1), and polyunsaturated with two or three double bonds (C n:2/3).</w:t>
      </w:r>
    </w:p>
    <w:p>
      <w:pPr>
        <w:spacing w:line="360" w:lineRule="auto"/>
        <w:rPr>
          <w:rFonts w:eastAsia="等线"/>
        </w:rPr>
      </w:pPr>
      <w:r>
        <w:rPr>
          <w:rFonts w:eastAsia="等线"/>
          <w:b/>
          <w:bCs/>
        </w:rPr>
        <w:t>Table</w:t>
      </w:r>
      <w:r>
        <w:rPr>
          <w:rFonts w:hint="eastAsia" w:eastAsia="等线"/>
          <w:b/>
          <w:bCs/>
        </w:rPr>
        <w:t xml:space="preserve"> S</w:t>
      </w:r>
      <w:r>
        <w:rPr>
          <w:rFonts w:hint="eastAsia" w:eastAsia="等线"/>
          <w:b/>
          <w:bCs/>
          <w:lang w:val="en-US" w:eastAsia="zh-CN"/>
        </w:rPr>
        <w:t>2</w:t>
      </w:r>
      <w:r>
        <w:rPr>
          <w:rFonts w:eastAsia="等线"/>
          <w:b/>
          <w:bCs/>
        </w:rPr>
        <w:t xml:space="preserve">. </w:t>
      </w:r>
      <w:r>
        <w:rPr>
          <w:rFonts w:eastAsia="等线"/>
        </w:rPr>
        <w:t>The Lovibond color codes of WCO and E-WCO</w:t>
      </w:r>
      <w:r>
        <w:rPr>
          <w:rFonts w:hint="eastAsia" w:eastAsia="等线"/>
        </w:rPr>
        <w:t>.</w:t>
      </w:r>
    </w:p>
    <w:p>
      <w:pPr>
        <w:spacing w:line="360" w:lineRule="auto"/>
      </w:pPr>
      <w:r>
        <w:rPr>
          <w:rFonts w:hint="eastAsia"/>
          <w:b/>
          <w:bCs/>
        </w:rPr>
        <w:t xml:space="preserve">Figure S1. </w:t>
      </w:r>
      <w:r>
        <w:rPr>
          <w:rFonts w:hint="eastAsia"/>
        </w:rPr>
        <w:t>Photograph of E-WCO (left) and WCO (right) showing the difference in their colors.</w:t>
      </w:r>
    </w:p>
    <w:p>
      <w:pPr>
        <w:spacing w:line="360" w:lineRule="auto"/>
        <w:rPr>
          <w:rFonts w:hint="eastAsia"/>
        </w:rPr>
      </w:pPr>
      <w:r>
        <w:rPr>
          <w:rFonts w:hint="eastAsia"/>
          <w:b/>
          <w:bCs/>
        </w:rPr>
        <w:t xml:space="preserve">Figure S2. </w:t>
      </w:r>
      <w:r>
        <w:rPr>
          <w:rFonts w:hint="eastAsia"/>
        </w:rPr>
        <w:t>The aldehyde content of WCO and E-WCO.</w:t>
      </w:r>
    </w:p>
    <w:p>
      <w:pPr>
        <w:spacing w:line="360" w:lineRule="auto"/>
      </w:pPr>
      <w:r>
        <w:rPr>
          <w:rFonts w:hint="eastAsia"/>
          <w:b/>
          <w:bCs/>
        </w:rPr>
        <w:t xml:space="preserve">Figure S3. </w:t>
      </w:r>
      <w:r>
        <w:rPr>
          <w:rFonts w:hint="eastAsia"/>
        </w:rPr>
        <w:t>DTG curves of E-WCO/TEGDMA resins and other control samples.</w:t>
      </w:r>
    </w:p>
    <w:p>
      <w:pPr>
        <w:spacing w:line="360" w:lineRule="auto"/>
        <w:rPr>
          <w:rFonts w:hint="eastAsia"/>
        </w:rPr>
      </w:pPr>
      <w:r>
        <w:rPr>
          <w:rFonts w:hint="eastAsia"/>
          <w:b/>
          <w:bCs/>
        </w:rPr>
        <w:t xml:space="preserve">Figure S4. </w:t>
      </w:r>
      <w:r>
        <w:rPr>
          <w:rFonts w:hint="eastAsia"/>
        </w:rPr>
        <w:t>DSC curves of E-WCO/TEGDMA resins and other control samples: (a) A1; (b) A2; (c) A3; (d) A4; (e) pure TEGDMA; (f) ESO/TEGDMA resin.</w:t>
      </w:r>
    </w:p>
    <w:p>
      <w:pPr>
        <w:spacing w:line="360" w:lineRule="auto"/>
        <w:rPr>
          <w:rFonts w:hint="eastAsia"/>
        </w:rPr>
      </w:pPr>
      <w:r>
        <w:rPr>
          <w:rFonts w:hint="eastAsia"/>
          <w:b/>
          <w:bCs/>
        </w:rPr>
        <w:t>Figure S</w:t>
      </w:r>
      <w:r>
        <w:rPr>
          <w:rFonts w:hint="eastAsia" w:eastAsia="宋体"/>
          <w:b/>
          <w:bCs/>
          <w:lang w:val="en-US" w:eastAsia="zh-CN"/>
        </w:rPr>
        <w:t>5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</w:t>
      </w:r>
      <w:r>
        <w:rPr>
          <w:rFonts w:hint="eastAsia"/>
        </w:rPr>
        <w:t>S</w:t>
      </w:r>
      <w:r>
        <w:rPr>
          <w:rFonts w:hint="eastAsia" w:eastAsia="宋体"/>
          <w:lang w:val="en-US" w:eastAsia="zh-CN"/>
        </w:rPr>
        <w:t>torage modulus</w:t>
      </w:r>
      <w:r>
        <w:rPr>
          <w:rFonts w:hint="eastAsia"/>
        </w:rPr>
        <w:t xml:space="preserve"> curves of </w:t>
      </w:r>
      <w:r>
        <w:rPr>
          <w:rFonts w:hint="eastAsia" w:eastAsia="宋体"/>
          <w:bCs/>
        </w:rPr>
        <w:t>E-WCO/TEGDMA resins and other control samples.</w:t>
      </w:r>
    </w:p>
    <w:p>
      <w:pPr>
        <w:spacing w:line="360" w:lineRule="auto"/>
      </w:pPr>
      <w:r>
        <w:rPr>
          <w:rFonts w:hint="eastAsia"/>
          <w:b/>
          <w:bCs/>
        </w:rPr>
        <w:t>Figure S</w:t>
      </w:r>
      <w:r>
        <w:rPr>
          <w:rFonts w:hint="eastAsia" w:eastAsia="宋体"/>
          <w:b/>
          <w:bCs/>
          <w:lang w:val="en-US" w:eastAsia="zh-CN"/>
        </w:rPr>
        <w:t>6</w:t>
      </w:r>
      <w:r>
        <w:rPr>
          <w:rFonts w:hint="eastAsia"/>
          <w:b/>
          <w:bCs/>
        </w:rPr>
        <w:t xml:space="preserve">. </w:t>
      </w:r>
      <w:r>
        <w:rPr>
          <w:rFonts w:hint="eastAsia"/>
        </w:rPr>
        <w:t>Stress-strain curves of E-WCO/TEGDMA resins and other control samples</w:t>
      </w:r>
      <w:r>
        <w:rPr>
          <w:rFonts w:hint="eastAsia" w:eastAsia="宋体"/>
        </w:rPr>
        <w:t>.</w:t>
      </w:r>
    </w:p>
    <w:p>
      <w:r>
        <w:br w:type="page"/>
      </w:r>
    </w:p>
    <w:p>
      <w:pPr>
        <w:spacing w:line="360" w:lineRule="auto"/>
        <w:rPr>
          <w:rFonts w:hint="default" w:eastAsia="宋体"/>
          <w:b w:val="0"/>
          <w:bCs w:val="0"/>
          <w:highlight w:val="none"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 xml:space="preserve">S1. </w:t>
      </w:r>
      <w:r>
        <w:rPr>
          <w:rFonts w:hint="eastAsia"/>
          <w:b w:val="0"/>
          <w:bCs w:val="0"/>
          <w:highlight w:val="none"/>
        </w:rPr>
        <w:t>Synthesis</w:t>
      </w:r>
      <w:r>
        <w:rPr>
          <w:rFonts w:hint="eastAsia" w:eastAsia="宋体"/>
          <w:b w:val="0"/>
          <w:bCs w:val="0"/>
          <w:highlight w:val="none"/>
          <w:lang w:val="en-US" w:eastAsia="zh-CN"/>
        </w:rPr>
        <w:t xml:space="preserve"> of E-WCO</w:t>
      </w:r>
    </w:p>
    <w:p>
      <w:pPr>
        <w:pStyle w:val="11"/>
        <w:ind w:firstLine="240" w:firstLineChars="100"/>
        <w:jc w:val="both"/>
        <w:rPr>
          <w:rFonts w:eastAsia="MS Gothic"/>
          <w:b w:val="0"/>
          <w:color w:val="auto"/>
        </w:rPr>
      </w:pPr>
      <w:r>
        <w:rPr>
          <w:rFonts w:eastAsia="MS Gothic"/>
          <w:b w:val="0"/>
          <w:color w:val="auto"/>
        </w:rPr>
        <w:t>The epoxy waste cooking oil (E-WCO) could be produced following the epoxidation method in our previously reported.</w:t>
      </w:r>
      <w:r>
        <w:rPr>
          <w:rFonts w:eastAsia="MS Gothic"/>
          <w:b w:val="0"/>
          <w:color w:val="auto"/>
          <w:vertAlign w:val="superscript"/>
        </w:rPr>
        <w:t>[49]</w:t>
      </w:r>
      <w:r>
        <w:rPr>
          <w:rFonts w:eastAsia="MS Gothic"/>
          <w:b w:val="0"/>
          <w:color w:val="auto"/>
        </w:rPr>
        <w:t xml:space="preserve"> Initially, we carried out the epoxidation of WCO to produce E-WCO. To accomplish this, we prepared a mixture consisting of 1240 g of 30% H</w:t>
      </w:r>
      <w:r>
        <w:rPr>
          <w:rFonts w:eastAsia="MS Gothic"/>
          <w:b w:val="0"/>
          <w:color w:val="auto"/>
          <w:vertAlign w:val="subscript"/>
        </w:rPr>
        <w:t>2</w:t>
      </w:r>
      <w:r>
        <w:rPr>
          <w:rFonts w:eastAsia="MS Gothic"/>
          <w:b w:val="0"/>
          <w:color w:val="auto"/>
        </w:rPr>
        <w:t>O</w:t>
      </w:r>
      <w:r>
        <w:rPr>
          <w:rFonts w:eastAsia="MS Gothic"/>
          <w:b w:val="0"/>
          <w:color w:val="auto"/>
          <w:vertAlign w:val="subscript"/>
        </w:rPr>
        <w:t>2</w:t>
      </w:r>
      <w:r>
        <w:rPr>
          <w:rFonts w:eastAsia="MS Gothic"/>
          <w:b w:val="0"/>
          <w:color w:val="auto"/>
        </w:rPr>
        <w:t>, 320 g of glacial acetic acid, 8 g of sulfuric acid, and 8 g of urea in a lightproof container. This mixture was then placed in an oven at 40 ℃ for 12 hours to generate peracetic acid, which served as the epoxidation reagent. Subsequently, 1000 g of WCO was introduced into a glass-stirred reactor and heated to 40 ℃. The prepared epoxidation reagent was gradually added to the reactor over a 2-hour period. The reaction mixture was then heated to 70 ℃ and stirred for 3 hours. Upon completion of the reaction, the mixture was allowed to stand for 12 hours to allow for stratification. The upper oil layer was collected, subjected to a single wash with a 5% NaHCO</w:t>
      </w:r>
      <w:r>
        <w:rPr>
          <w:rFonts w:eastAsia="MS Gothic"/>
          <w:b w:val="0"/>
          <w:color w:val="auto"/>
          <w:vertAlign w:val="subscript"/>
        </w:rPr>
        <w:t>3</w:t>
      </w:r>
      <w:r>
        <w:rPr>
          <w:rFonts w:eastAsia="MS Gothic"/>
          <w:b w:val="0"/>
          <w:color w:val="auto"/>
        </w:rPr>
        <w:t xml:space="preserve"> solution, followed by two washes with deionized water at 60 ℃. Finally, it underwent vacuum evaporation at 70 ℃, resulting in E-WCO with an epoxy value of 4.37. Following the epoxylation reaction, a significant improvement in color was observed in the resulting product, transitioning from a dark brown hue (Lovibond color scale: Y = 50.5 and R = 20) to a yellow shade (Y = 10 and R = 1) (Refer to Figure S1 and Table S2 in the ESI). Furthermore, the epoxylation process effectively eliminated over 70% of aldehyde compounds from the oil product, thus removing the unpleasant odor commonly associated with WCO (Refer to Figure S2 in the ESI).</w:t>
      </w:r>
    </w:p>
    <w:p>
      <w:pPr>
        <w:rPr>
          <w:rFonts w:hint="eastAsia"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hint="eastAsia"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br w:type="page"/>
      </w:r>
    </w:p>
    <w:p>
      <w:pPr>
        <w:pStyle w:val="11"/>
        <w:rPr>
          <w:rFonts w:hint="default" w:eastAsia="宋体"/>
          <w:b w:val="0"/>
          <w:bCs/>
          <w:lang w:val="en-US" w:eastAsia="zh-CN"/>
        </w:rPr>
      </w:pPr>
      <w:r>
        <w:rPr>
          <w:rFonts w:hint="eastAsia" w:eastAsia="宋体"/>
          <w:lang w:val="en-US" w:eastAsia="zh-CN"/>
        </w:rPr>
        <w:t>S2.</w:t>
      </w:r>
      <w:r>
        <w:rPr>
          <w:rFonts w:hint="eastAsia" w:eastAsia="宋体"/>
          <w:lang w:eastAsia="zh-CN"/>
        </w:rPr>
        <w:t xml:space="preserve"> </w:t>
      </w:r>
      <w:r>
        <w:rPr>
          <w:rFonts w:hint="eastAsia"/>
          <w:b w:val="0"/>
          <w:bCs/>
        </w:rPr>
        <w:t>Characterization</w:t>
      </w:r>
      <w:r>
        <w:rPr>
          <w:rFonts w:hint="eastAsia" w:eastAsia="宋体"/>
          <w:b w:val="0"/>
          <w:bCs/>
          <w:lang w:val="en-US" w:eastAsia="zh-CN"/>
        </w:rPr>
        <w:t xml:space="preserve"> </w:t>
      </w:r>
    </w:p>
    <w:p>
      <w:pPr>
        <w:pStyle w:val="11"/>
        <w:ind w:firstLine="240" w:firstLineChars="100"/>
        <w:jc w:val="both"/>
        <w:rPr>
          <w:rFonts w:eastAsia="MS Gothic"/>
          <w:b w:val="0"/>
        </w:rPr>
      </w:pPr>
      <w:r>
        <w:rPr>
          <w:rFonts w:eastAsia="MS Gothic"/>
          <w:b w:val="0"/>
        </w:rPr>
        <w:t>The characterization of the resulting WCO-based photocurable resins and other related samples was carried out in accordance with the methods detailed in our prior publication.</w:t>
      </w:r>
      <w:r>
        <w:rPr>
          <w:rFonts w:hint="eastAsia" w:eastAsia="宋体"/>
          <w:b w:val="0"/>
          <w:vertAlign w:val="superscript"/>
          <w:lang w:eastAsia="zh-CN"/>
        </w:rPr>
        <w:t>[49]</w:t>
      </w:r>
      <w:r>
        <w:rPr>
          <w:rFonts w:eastAsia="MS Gothic"/>
          <w:b w:val="0"/>
        </w:rPr>
        <w:t xml:space="preserve"> The iodine value of WCO was determined using the China Standard GB/T 5532-2008. The epoxy value of E-WCO was examined following China Standard GB/T 1677-2008. The Lovibond color of WCO and E-WCO was analyzed by a LABO-HUB WSL-2 Lovibond tintometer (Xinrui, Shanghai, China). </w:t>
      </w:r>
      <w:r>
        <w:rPr>
          <w:rFonts w:hint="eastAsia" w:eastAsia="MS Gothic"/>
          <w:b w:val="0"/>
        </w:rPr>
        <w:t>The aldehyde content</w:t>
      </w:r>
      <w:r>
        <w:rPr>
          <w:rFonts w:hint="eastAsia" w:eastAsia="宋体"/>
          <w:b w:val="0"/>
          <w:lang w:eastAsia="zh-CN"/>
        </w:rPr>
        <w:t>s</w:t>
      </w:r>
      <w:r>
        <w:rPr>
          <w:rFonts w:hint="eastAsia" w:eastAsia="MS Gothic"/>
          <w:b w:val="0"/>
        </w:rPr>
        <w:t xml:space="preserve"> of </w:t>
      </w:r>
      <w:r>
        <w:rPr>
          <w:rFonts w:hint="eastAsia" w:eastAsia="宋体"/>
          <w:b w:val="0"/>
          <w:lang w:eastAsia="zh-CN"/>
        </w:rPr>
        <w:t>WCO and E-WCO</w:t>
      </w:r>
      <w:r>
        <w:rPr>
          <w:rFonts w:hint="eastAsia" w:eastAsia="MS Gothic"/>
          <w:b w:val="0"/>
        </w:rPr>
        <w:t xml:space="preserve"> w</w:t>
      </w:r>
      <w:r>
        <w:rPr>
          <w:rFonts w:hint="eastAsia" w:eastAsia="宋体"/>
          <w:b w:val="0"/>
          <w:lang w:eastAsia="zh-CN"/>
        </w:rPr>
        <w:t>ere</w:t>
      </w:r>
      <w:r>
        <w:rPr>
          <w:rFonts w:hint="eastAsia" w:eastAsia="MS Gothic"/>
          <w:b w:val="0"/>
        </w:rPr>
        <w:t xml:space="preserve"> determined according to GB/T 14571.3-2008.</w:t>
      </w:r>
      <w:r>
        <w:rPr>
          <w:rFonts w:hint="eastAsia" w:eastAsia="宋体"/>
          <w:b w:val="0"/>
          <w:lang w:eastAsia="zh-CN"/>
        </w:rPr>
        <w:t xml:space="preserve"> </w:t>
      </w:r>
      <w:r>
        <w:rPr>
          <w:rFonts w:eastAsia="MS Gothic"/>
          <w:b w:val="0"/>
        </w:rPr>
        <w:t>The infrared (IR) spectrum of the resulting products was recorded as KBr pellets in the range of 400–4000 cm</w:t>
      </w:r>
      <w:r>
        <w:rPr>
          <w:rFonts w:eastAsia="MS Gothic"/>
          <w:b w:val="0"/>
          <w:vertAlign w:val="superscript"/>
        </w:rPr>
        <w:t>−1</w:t>
      </w:r>
      <w:r>
        <w:rPr>
          <w:rFonts w:eastAsia="MS Gothic"/>
          <w:b w:val="0"/>
        </w:rPr>
        <w:t xml:space="preserve"> on a Nicolet 5700 FT-IR spectrometer (Thermofisher, Waltham, USA) with a spectral resolution of 4 cm</w:t>
      </w:r>
      <w:r>
        <w:rPr>
          <w:rFonts w:eastAsia="MS Gothic"/>
          <w:b w:val="0"/>
          <w:vertAlign w:val="superscript"/>
        </w:rPr>
        <w:t>−1</w:t>
      </w:r>
      <w:r>
        <w:rPr>
          <w:rFonts w:eastAsia="MS Gothic"/>
          <w:b w:val="0"/>
        </w:rPr>
        <w:t>. The migration test of E-WCO as plasticizer was conducted through the following procedure: the E-WCO/TEGDMA composites, containing varying concentrations of E-WCO, were subjected to an isothermal temperature of 135 °C within an oven, and their weights were recorded at specified intervals. The migration rate of the plasticizer, described in terms of plasticizer weight loss (</w:t>
      </w:r>
      <w:r>
        <w:rPr>
          <w:rFonts w:eastAsia="MS Gothic"/>
          <w:b w:val="0"/>
          <w:i/>
          <w:iCs/>
        </w:rPr>
        <w:t>w</w:t>
      </w:r>
      <w:r>
        <w:rPr>
          <w:rFonts w:eastAsia="MS Gothic"/>
          <w:b w:val="0"/>
          <w:i/>
          <w:iCs/>
          <w:vertAlign w:val="subscript"/>
        </w:rPr>
        <w:t>s</w:t>
      </w:r>
      <w:r>
        <w:rPr>
          <w:rFonts w:eastAsia="MS Gothic"/>
          <w:b w:val="0"/>
        </w:rPr>
        <w:t>, %), is quantitatively determined by employing Equation (1):</w:t>
      </w:r>
    </w:p>
    <w:p>
      <w:pPr>
        <w:pStyle w:val="11"/>
        <w:ind w:firstLine="3360" w:firstLineChars="1400"/>
        <w:jc w:val="both"/>
        <w:rPr>
          <w:rFonts w:eastAsia="MS Gothic"/>
          <w:b w:val="0"/>
        </w:rPr>
      </w:pPr>
      <m:oMath>
        <m:sSub>
          <m:sSubPr>
            <m:ctrlPr>
              <w:rPr>
                <w:rFonts w:ascii="Cambria Math" w:hAnsi="Cambria Math" w:eastAsia="MS Gothic"/>
                <w:b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eastAsia="MS Gothic"/>
              </w:rPr>
              <m:t>w</m:t>
            </m:r>
            <m:ctrlPr>
              <w:rPr>
                <w:rFonts w:ascii="Cambria Math" w:hAnsi="Cambria Math" w:eastAsia="MS Gothic"/>
                <w:b w:val="0"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 w:eastAsia="MS Gothic"/>
              </w:rPr>
              <m:t>s</m:t>
            </m:r>
            <m:ctrlPr>
              <w:rPr>
                <w:rFonts w:ascii="Cambria Math" w:hAnsi="Cambria Math" w:eastAsia="MS Gothic"/>
                <w:b w:val="0"/>
                <w:i/>
              </w:rPr>
            </m:ctrlPr>
          </m:sub>
        </m:sSub>
        <m:r>
          <m:rPr>
            <m:sty m:val="bi"/>
          </m:rPr>
          <w:rPr>
            <w:rFonts w:ascii="Cambria Math" w:hAnsi="Cambria Math" w:eastAsia="MS Gothic"/>
          </w:rPr>
          <m:t>=</m:t>
        </m:r>
        <m:f>
          <m:fPr>
            <m:ctrlPr>
              <w:rPr>
                <w:rFonts w:ascii="Cambria Math" w:hAnsi="Cambria Math" w:eastAsia="MS Gothic"/>
                <w:b w:val="0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eastAsia="MS Gothic"/>
                  </w:rPr>
                  <m:t>m</m:t>
                </m: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 w:eastAsia="MS Gothic"/>
                  </w:rPr>
                  <m:t>0</m:t>
                </m: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Cambria Math" w:eastAsia="MS Gothic"/>
              </w:rPr>
              <m:t>−</m:t>
            </m:r>
            <m:sSub>
              <m:sSubP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eastAsia="MS Gothic"/>
                  </w:rPr>
                  <m:t>m</m:t>
                </m: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 w:eastAsia="MS Gothic"/>
                  </w:rPr>
                  <m:t>t</m:t>
                </m: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sub>
            </m:sSub>
            <m:ctrlPr>
              <w:rPr>
                <w:rFonts w:ascii="Cambria Math" w:hAnsi="Cambria Math" w:eastAsia="MS Gothic"/>
                <w:b w:val="0"/>
                <w:i/>
              </w:rPr>
            </m:ctrlPr>
          </m:num>
          <m:den>
            <m:sSub>
              <m:sSubP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eastAsia="MS Gothic"/>
                  </w:rPr>
                  <m:t>m</m:t>
                </m: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 w:eastAsia="MS Gothic"/>
                  </w:rPr>
                  <m:t>0</m:t>
                </m:r>
                <m:ctrlPr>
                  <w:rPr>
                    <w:rFonts w:ascii="Cambria Math" w:hAnsi="Cambria Math" w:eastAsia="MS Gothic"/>
                    <w:b w:val="0"/>
                    <w:i/>
                  </w:rPr>
                </m:ctrlPr>
              </m:sub>
            </m:sSub>
            <m:ctrlPr>
              <w:rPr>
                <w:rFonts w:ascii="Cambria Math" w:hAnsi="Cambria Math" w:eastAsia="MS Gothic"/>
                <w:b w:val="0"/>
                <w:i/>
              </w:rPr>
            </m:ctrlPr>
          </m:den>
        </m:f>
        <m:r>
          <m:rPr>
            <m:sty m:val="bi"/>
          </m:rPr>
          <w:rPr>
            <w:rFonts w:ascii="Cambria Math" w:hAnsi="Cambria Math" w:eastAsia="MS Gothic"/>
          </w:rPr>
          <m:t>×100%</m:t>
        </m:r>
      </m:oMath>
      <w:r>
        <w:rPr>
          <w:rFonts w:hint="eastAsia" w:eastAsia="MS Gothic"/>
          <w:b w:val="0"/>
        </w:rPr>
        <w:t xml:space="preserve">                     (1)</w:t>
      </w:r>
    </w:p>
    <w:p>
      <w:pPr>
        <w:pStyle w:val="11"/>
        <w:ind w:firstLine="240" w:firstLineChars="100"/>
        <w:jc w:val="both"/>
        <w:rPr>
          <w:rFonts w:eastAsia="MS Gothic"/>
          <w:b w:val="0"/>
        </w:rPr>
      </w:pPr>
      <w:r>
        <w:rPr>
          <w:rFonts w:hint="eastAsia" w:eastAsia="MS Gothic"/>
          <w:b w:val="0"/>
        </w:rPr>
        <w:t xml:space="preserve">where </w:t>
      </w:r>
      <w:r>
        <w:rPr>
          <w:rFonts w:hint="eastAsia" w:eastAsia="MS Gothic"/>
          <w:b w:val="0"/>
          <w:i/>
          <w:iCs/>
        </w:rPr>
        <w:t>m</w:t>
      </w:r>
      <w:r>
        <w:rPr>
          <w:rFonts w:hint="eastAsia" w:eastAsia="MS Gothic"/>
          <w:b w:val="0"/>
          <w:i/>
          <w:iCs/>
          <w:vertAlign w:val="subscript"/>
        </w:rPr>
        <w:t>0</w:t>
      </w:r>
      <w:r>
        <w:rPr>
          <w:rFonts w:hint="eastAsia" w:eastAsia="MS Gothic"/>
          <w:b w:val="0"/>
        </w:rPr>
        <w:t xml:space="preserve"> represents the initial weight before migration, and </w:t>
      </w:r>
      <w:r>
        <w:rPr>
          <w:rFonts w:hint="eastAsia" w:eastAsia="MS Gothic"/>
          <w:b w:val="0"/>
          <w:i/>
          <w:iCs/>
        </w:rPr>
        <w:t>m</w:t>
      </w:r>
      <w:r>
        <w:rPr>
          <w:rFonts w:hint="eastAsia" w:eastAsia="MS Gothic"/>
          <w:b w:val="0"/>
          <w:i/>
          <w:iCs/>
          <w:vertAlign w:val="subscript"/>
        </w:rPr>
        <w:t>t</w:t>
      </w:r>
      <w:r>
        <w:rPr>
          <w:rFonts w:hint="eastAsia" w:eastAsia="MS Gothic"/>
          <w:b w:val="0"/>
        </w:rPr>
        <w:t xml:space="preserve"> corresponds to the weight after migration at distinct time intervals.</w:t>
      </w:r>
    </w:p>
    <w:p>
      <w:pPr>
        <w:pStyle w:val="11"/>
        <w:ind w:firstLine="240" w:firstLineChars="100"/>
        <w:jc w:val="both"/>
        <w:rPr>
          <w:rFonts w:eastAsia="MS Gothic"/>
          <w:b w:val="0"/>
        </w:rPr>
      </w:pPr>
      <w:r>
        <w:rPr>
          <w:rFonts w:eastAsia="MS Gothic"/>
          <w:b w:val="0"/>
        </w:rPr>
        <w:t xml:space="preserve">The thermogravimetric analysis was carried out with a TG 209 F1 Libra thermal gravimetric analyzer (Netzsch, Selb, Germany) at a heating rate of 10 °C/min in the range of 30−650 °C under a nitrogen gas atmosphere. The tests of differential scanning calorimetry (DSC) were performed on a DSC 204/2920 differential scanning calorimeter (TA Instruments, New Castle, USA) equipped with a refrigerated cooling system. After equilibrating the </w:t>
      </w:r>
      <w:r>
        <w:rPr>
          <w:rFonts w:hint="eastAsia" w:eastAsia="MS Gothic"/>
          <w:b w:val="0"/>
        </w:rPr>
        <w:t>s</w:t>
      </w:r>
      <w:r>
        <w:rPr>
          <w:rFonts w:eastAsia="MS Gothic"/>
          <w:b w:val="0"/>
        </w:rPr>
        <w:t>amples at −60 °C for 5 min, the first heating trace started from −60 to 100 °C at 10 °C/min. The samples were equilibrated at 100 °C for 1 minute and cooled down at 3 °C/min. When the temperature reached −60 °C, the samples were equilibrated for 1 min and heated again to 100 °C at 10 °C/min. The first cooling and second heating traces were recorded to test the glass transition temperature (T</w:t>
      </w:r>
      <w:r>
        <w:rPr>
          <w:rFonts w:eastAsia="MS Gothic"/>
          <w:b w:val="0"/>
          <w:vertAlign w:val="subscript"/>
        </w:rPr>
        <w:t>g</w:t>
      </w:r>
      <w:r>
        <w:rPr>
          <w:rFonts w:eastAsia="MS Gothic"/>
          <w:b w:val="0"/>
        </w:rPr>
        <w:t>) of resin. Dynamic thermomechanical analysis</w:t>
      </w:r>
      <w:r>
        <w:rPr>
          <w:rFonts w:eastAsiaTheme="minorEastAsia"/>
          <w:b w:val="0"/>
          <w:lang w:eastAsia="zh-CN"/>
        </w:rPr>
        <w:t xml:space="preserve"> </w:t>
      </w:r>
      <w:r>
        <w:rPr>
          <w:rFonts w:eastAsia="MS Gothic"/>
          <w:b w:val="0"/>
        </w:rPr>
        <w:t>(DMA) was performed using a DMA861e dynamic thermomechanical analyzer (Mettler</w:t>
      </w:r>
      <w:r>
        <w:rPr>
          <w:rFonts w:eastAsiaTheme="minorEastAsia"/>
          <w:b w:val="0"/>
          <w:lang w:eastAsia="zh-CN"/>
        </w:rPr>
        <w:t xml:space="preserve"> </w:t>
      </w:r>
      <w:r>
        <w:rPr>
          <w:rFonts w:eastAsia="MS Gothic"/>
          <w:b w:val="0"/>
        </w:rPr>
        <w:t xml:space="preserve">Toledo, Zurich, Switzerland) operating in the stretch mode under an air atmosphere, spanning the temperature range of 25 to 150 ◦C. The heating rate employed was 3 </w:t>
      </w:r>
      <w:r>
        <w:rPr>
          <w:rFonts w:eastAsiaTheme="minorEastAsia"/>
          <w:b w:val="0"/>
          <w:lang w:eastAsia="zh-CN"/>
        </w:rPr>
        <w:t>℃</w:t>
      </w:r>
      <w:r>
        <w:rPr>
          <w:rFonts w:eastAsia="MS Gothic"/>
          <w:b w:val="0"/>
        </w:rPr>
        <w:t>/min,</w:t>
      </w:r>
      <w:r>
        <w:rPr>
          <w:rFonts w:eastAsiaTheme="minorEastAsia"/>
          <w:b w:val="0"/>
          <w:lang w:eastAsia="zh-CN"/>
        </w:rPr>
        <w:t xml:space="preserve"> </w:t>
      </w:r>
      <w:r>
        <w:rPr>
          <w:rFonts w:eastAsia="MS Gothic"/>
          <w:b w:val="0"/>
        </w:rPr>
        <w:t>with a frequency of 1 Hz. Test samples were 3D printed in the form of rectangular strips</w:t>
      </w:r>
      <w:r>
        <w:rPr>
          <w:rFonts w:hint="eastAsia" w:eastAsiaTheme="minorEastAsia"/>
          <w:b w:val="0"/>
          <w:lang w:eastAsia="zh-CN"/>
        </w:rPr>
        <w:t xml:space="preserve"> </w:t>
      </w:r>
      <w:r>
        <w:rPr>
          <w:rFonts w:eastAsia="MS Gothic"/>
          <w:b w:val="0"/>
        </w:rPr>
        <w:t>(size: 25 mm × 5 mm × 0.6 mm).</w:t>
      </w:r>
    </w:p>
    <w:p>
      <w:pPr>
        <w:pStyle w:val="11"/>
        <w:ind w:firstLine="240" w:firstLineChars="100"/>
        <w:jc w:val="both"/>
        <w:rPr>
          <w:rFonts w:eastAsia="MS Gothic"/>
          <w:b w:val="0"/>
        </w:rPr>
      </w:pPr>
      <w:r>
        <w:rPr>
          <w:rFonts w:eastAsia="MS Gothic"/>
          <w:b w:val="0"/>
        </w:rPr>
        <w:t>The mechanical properties were examined by an AG-20Ⅰ electronic universal testing machine (Shimadzu, Tokyo, Japan) with a 5 mm/min stretching rate. The test sample was printed as 1BA dumbbell-shaped splines according to the China Standard GB/T 1040.2-2006 using a Photon X LCD 3D printer (Anycubic, Shenzhen, China). Impact strength was measured by a DR-802b cantilever beam impact testing machine (Sansi, Shenzhen, China) with an impact energy of 1J. The scanning electron microscope (SEM) images were obtained by using an S-4800 field emission scanning electron microscope (Hitachi, Chiyoda, Tokyo, Japan) with an accelerating voltage of 20 kV.</w:t>
      </w:r>
    </w:p>
    <w:p>
      <w:pPr>
        <w:pStyle w:val="11"/>
        <w:ind w:firstLine="240" w:firstLineChars="100"/>
        <w:jc w:val="both"/>
        <w:rPr>
          <w:rFonts w:eastAsia="MS Gothic"/>
          <w:b w:val="0"/>
        </w:rPr>
      </w:pPr>
    </w:p>
    <w:p>
      <w:pPr>
        <w:rPr>
          <w:rFonts w:hint="eastAsia"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T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ble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S1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Fatty acid compositions (wt.%) of </w:t>
      </w:r>
      <w:r>
        <w:rPr>
          <w:rFonts w:hint="eastAsia" w:eastAsia="等线" w:cs="Times New Roman"/>
          <w:sz w:val="24"/>
          <w:szCs w:val="24"/>
          <w:lang w:val="en-US" w:eastAsia="zh-CN"/>
        </w:rPr>
        <w:t>WCO</w:t>
      </w:r>
      <w:r>
        <w:rPr>
          <w:rFonts w:hint="eastAsia" w:ascii="Times New Roman" w:hAnsi="Times New Roman" w:eastAsia="等线" w:cs="Times New Roman"/>
          <w:sz w:val="24"/>
          <w:szCs w:val="24"/>
        </w:rPr>
        <w:t>. Three main types of fatty acids: saturated (C n:0), monounsaturated (C n:1)</w:t>
      </w:r>
      <w:r>
        <w:rPr>
          <w:rFonts w:ascii="Times New Roman" w:hAnsi="Times New Roman" w:eastAsia="等线" w:cs="Times New Roman"/>
          <w:sz w:val="24"/>
          <w:szCs w:val="24"/>
        </w:rPr>
        <w:t>,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and polyunsaturated with two or three double bonds (C n:2/3).</w:t>
      </w:r>
    </w:p>
    <w:tbl>
      <w:tblPr>
        <w:tblStyle w:val="3"/>
        <w:tblW w:w="850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4"/>
        <w:gridCol w:w="2827"/>
        <w:gridCol w:w="298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Fatty acid</w:t>
            </w:r>
          </w:p>
        </w:tc>
        <w:tc>
          <w:tcPr>
            <w:tcW w:w="2827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The WCO used in this work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  <w:jc w:val="center"/>
        </w:trPr>
        <w:tc>
          <w:tcPr>
            <w:tcW w:w="2694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 xml:space="preserve">Caprylic </w:t>
            </w:r>
          </w:p>
        </w:tc>
        <w:tc>
          <w:tcPr>
            <w:tcW w:w="2827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 8:0</w:t>
            </w:r>
          </w:p>
        </w:tc>
        <w:tc>
          <w:tcPr>
            <w:tcW w:w="2984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0.2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Lauric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12:0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Myristic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14:0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0.2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Palmitic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16:0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19.7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Palmitoleic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16:1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Stearic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18:0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6.8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Oleic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18:1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69.6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Linoleic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18:2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3.0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Linolenic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18:3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Arachidic</w:t>
            </w:r>
          </w:p>
        </w:tc>
        <w:tc>
          <w:tcPr>
            <w:tcW w:w="28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20:0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tcBorders>
              <w:bottom w:val="single" w:color="00000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Gadoleic</w:t>
            </w:r>
          </w:p>
        </w:tc>
        <w:tc>
          <w:tcPr>
            <w:tcW w:w="2827" w:type="dxa"/>
            <w:tcBorders>
              <w:bottom w:val="single" w:color="00000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 20:1</w:t>
            </w:r>
          </w:p>
        </w:tc>
        <w:tc>
          <w:tcPr>
            <w:tcW w:w="2984" w:type="dxa"/>
            <w:tcBorders>
              <w:bottom w:val="single" w:color="00000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  <w:b/>
          <w:bCs/>
        </w:rPr>
      </w:pPr>
      <w:r>
        <w:rPr>
          <w:rFonts w:eastAsia="等线"/>
          <w:b/>
          <w:bCs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</w:rPr>
      </w:pPr>
      <w:r>
        <w:rPr>
          <w:rFonts w:eastAsia="等线"/>
          <w:b/>
          <w:bCs/>
        </w:rPr>
        <w:t>Table</w:t>
      </w:r>
      <w:r>
        <w:rPr>
          <w:rFonts w:hint="eastAsia" w:eastAsia="等线"/>
          <w:b/>
          <w:bCs/>
        </w:rPr>
        <w:t xml:space="preserve"> S</w:t>
      </w:r>
      <w:r>
        <w:rPr>
          <w:rFonts w:hint="eastAsia" w:eastAsia="等线"/>
          <w:b/>
          <w:bCs/>
          <w:lang w:val="en-US" w:eastAsia="zh-CN"/>
        </w:rPr>
        <w:t>2</w:t>
      </w:r>
      <w:r>
        <w:rPr>
          <w:rFonts w:eastAsia="等线"/>
          <w:b/>
          <w:bCs/>
        </w:rPr>
        <w:t xml:space="preserve">. </w:t>
      </w:r>
      <w:r>
        <w:rPr>
          <w:rFonts w:eastAsia="等线"/>
        </w:rPr>
        <w:t>The Lovibond color codes of WCO and E-WCO</w:t>
      </w:r>
      <w:r>
        <w:rPr>
          <w:rFonts w:hint="eastAsia" w:eastAsia="等线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</w:rPr>
      </w:pPr>
      <w:r>
        <w:rPr>
          <w:rFonts w:eastAsia="等线"/>
        </w:rPr>
        <w:t xml:space="preserve"> </w:t>
      </w:r>
    </w:p>
    <w:tbl>
      <w:tblPr>
        <w:tblStyle w:val="4"/>
        <w:tblW w:w="897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496"/>
        <w:gridCol w:w="1496"/>
        <w:gridCol w:w="1496"/>
        <w:gridCol w:w="1496"/>
        <w:gridCol w:w="14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4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Sample</w:t>
            </w:r>
          </w:p>
        </w:tc>
        <w:tc>
          <w:tcPr>
            <w:tcW w:w="14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Y (Yellow)</w:t>
            </w:r>
          </w:p>
        </w:tc>
        <w:tc>
          <w:tcPr>
            <w:tcW w:w="14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R (Red)</w:t>
            </w:r>
          </w:p>
        </w:tc>
        <w:tc>
          <w:tcPr>
            <w:tcW w:w="14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B (Blue)</w:t>
            </w:r>
          </w:p>
        </w:tc>
        <w:tc>
          <w:tcPr>
            <w:tcW w:w="14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Light field</w:t>
            </w:r>
          </w:p>
        </w:tc>
        <w:tc>
          <w:tcPr>
            <w:tcW w:w="14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Darkfield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WCO</w:t>
            </w: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50.5</w:t>
            </w: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20</w:t>
            </w: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9</w:t>
            </w: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0</w:t>
            </w: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4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宋体"/>
                <w:color w:val="000000"/>
              </w:rPr>
              <w:t>E-WCO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rPr>
                <w:rFonts w:eastAsia="等线"/>
                <w:color w:val="000000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eastAsia="等线"/>
        </w:rPr>
      </w:pPr>
      <w:r>
        <w:drawing>
          <wp:inline distT="0" distB="0" distL="0" distR="0">
            <wp:extent cx="4340225" cy="4589145"/>
            <wp:effectExtent l="0" t="0" r="3175" b="1905"/>
            <wp:docPr id="5605272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27277" name="图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等线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</w:rPr>
      </w:pPr>
      <w:r>
        <w:rPr>
          <w:b/>
          <w:bCs/>
        </w:rPr>
        <w:t>Figure S</w:t>
      </w:r>
      <w:r>
        <w:rPr>
          <w:rFonts w:hint="eastAsia"/>
          <w:b/>
          <w:bCs/>
        </w:rPr>
        <w:t xml:space="preserve">1. </w:t>
      </w:r>
      <w:r>
        <w:rPr>
          <w:rFonts w:hint="eastAsia" w:eastAsia="等线"/>
        </w:rPr>
        <w:t>Photograph of</w:t>
      </w:r>
      <w:r>
        <w:rPr>
          <w:rFonts w:eastAsia="等线"/>
        </w:rPr>
        <w:t xml:space="preserve"> </w:t>
      </w:r>
      <w:r>
        <w:rPr>
          <w:rFonts w:hint="eastAsia"/>
        </w:rPr>
        <w:t>E-</w:t>
      </w:r>
      <w:r>
        <w:rPr>
          <w:rFonts w:eastAsia="等线"/>
        </w:rPr>
        <w:t xml:space="preserve">WCO </w:t>
      </w:r>
      <w:r>
        <w:rPr>
          <w:rFonts w:hint="eastAsia" w:eastAsia="等线"/>
        </w:rPr>
        <w:t xml:space="preserve">(left) </w:t>
      </w:r>
      <w:r>
        <w:rPr>
          <w:rFonts w:eastAsia="等线"/>
        </w:rPr>
        <w:t>and WCO</w:t>
      </w:r>
      <w:r>
        <w:rPr>
          <w:rFonts w:hint="eastAsia" w:eastAsia="等线"/>
        </w:rPr>
        <w:t xml:space="preserve"> (right)</w:t>
      </w:r>
      <w:r>
        <w:rPr>
          <w:rFonts w:eastAsia="等线"/>
        </w:rPr>
        <w:t xml:space="preserve"> </w:t>
      </w:r>
      <w:r>
        <w:rPr>
          <w:rFonts w:hint="eastAsia" w:eastAsia="等线"/>
        </w:rPr>
        <w:t xml:space="preserve">showing the difference </w:t>
      </w:r>
      <w:r>
        <w:rPr>
          <w:rFonts w:eastAsia="等线"/>
        </w:rPr>
        <w:t>in</w:t>
      </w:r>
      <w:r>
        <w:rPr>
          <w:rFonts w:hint="eastAsia" w:eastAsia="等线"/>
        </w:rPr>
        <w:t xml:space="preserve"> their c</w:t>
      </w:r>
      <w:r>
        <w:rPr>
          <w:rFonts w:eastAsia="等线"/>
        </w:rPr>
        <w:t>olor</w:t>
      </w:r>
      <w:r>
        <w:rPr>
          <w:rFonts w:hint="eastAsia" w:eastAsia="等线"/>
        </w:rPr>
        <w:t>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</w:rPr>
      </w:pPr>
      <w:r>
        <w:rPr>
          <w:rFonts w:hint="eastAsia" w:eastAsia="等线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eastAsia="等线"/>
        </w:rPr>
      </w:pPr>
      <w:r>
        <w:drawing>
          <wp:inline distT="0" distB="0" distL="0" distR="0">
            <wp:extent cx="4878705" cy="3732530"/>
            <wp:effectExtent l="0" t="0" r="10795" b="1270"/>
            <wp:docPr id="681420432" name="图片 4" descr="D:/本科生/李贵梅/图片/WCO-ewco han quan liang.jpgWCO-ewco han quan li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20432" name="图片 4" descr="D:/本科生/李贵梅/图片/WCO-ewco han quan liang.jpgWCO-ewco han quan lia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487870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等线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eastAsia="等线"/>
          <w:b/>
          <w:bCs/>
        </w:rPr>
        <w:t xml:space="preserve">Figure </w:t>
      </w:r>
      <w:r>
        <w:rPr>
          <w:rFonts w:hint="eastAsia"/>
          <w:b/>
          <w:bCs/>
        </w:rPr>
        <w:t>S2.</w:t>
      </w:r>
      <w:r>
        <w:rPr>
          <w:rFonts w:hint="eastAsia" w:eastAsia="等线"/>
        </w:rPr>
        <w:t xml:space="preserve"> The aldehyde content of WCO </w:t>
      </w:r>
      <w:r>
        <w:rPr>
          <w:rFonts w:hint="eastAsia"/>
        </w:rPr>
        <w:t>and E-WCO.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</w:rPr>
        <w:br w:type="page"/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sz w:val="24"/>
          <w:szCs w:val="24"/>
        </w:rPr>
      </w:pPr>
      <w:r>
        <w:drawing>
          <wp:inline distT="0" distB="0" distL="0" distR="0">
            <wp:extent cx="5274310" cy="4036695"/>
            <wp:effectExtent l="0" t="0" r="8890" b="1905"/>
            <wp:docPr id="12514929" name="图片 3" descr="D:/本科生/李贵梅/图片/SWCO-TEDGMA-DTG.jpgSWCO-TEDGMA-D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929" name="图片 3" descr="D:/本科生/李贵梅/图片/SWCO-TEDGMA-DTG.jpgSWCO-TEDGMA-DT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eastAsia="MS Gothic"/>
          <w:b w:val="0"/>
          <w:sz w:val="24"/>
          <w:szCs w:val="24"/>
        </w:rPr>
      </w:pPr>
      <w:r>
        <w:rPr>
          <w:bCs/>
          <w:sz w:val="24"/>
          <w:szCs w:val="24"/>
        </w:rPr>
        <w:t>Figure S</w:t>
      </w:r>
      <w:r>
        <w:rPr>
          <w:rFonts w:hint="eastAsia"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rFonts w:hint="eastAsia" w:eastAsia="宋体"/>
          <w:b w:val="0"/>
          <w:sz w:val="24"/>
          <w:szCs w:val="24"/>
        </w:rPr>
        <w:t>DTG curves</w:t>
      </w:r>
      <w:r>
        <w:rPr>
          <w:rFonts w:hint="eastAsia" w:eastAsia="宋体"/>
          <w:bCs/>
          <w:sz w:val="24"/>
          <w:szCs w:val="24"/>
        </w:rPr>
        <w:t xml:space="preserve"> </w:t>
      </w:r>
      <w:r>
        <w:rPr>
          <w:rFonts w:hint="eastAsia" w:eastAsia="宋体"/>
          <w:b w:val="0"/>
          <w:sz w:val="24"/>
          <w:szCs w:val="24"/>
        </w:rPr>
        <w:t>of E-WCO/TEGDMA resins and other control samples.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0" distR="0">
            <wp:extent cx="5274310" cy="2988945"/>
            <wp:effectExtent l="0" t="0" r="8890" b="8255"/>
            <wp:docPr id="2017666455" name="图片 2" descr="D:/本科生/李贵梅/图片/DSC.pngD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666455" name="图片 2" descr="D:/本科生/李贵梅/图片/DSC.pngDS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57" r="4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Figure S</w:t>
      </w:r>
      <w:r>
        <w:rPr>
          <w:rFonts w:hint="eastAsia"/>
          <w:bCs/>
          <w:sz w:val="24"/>
          <w:szCs w:val="24"/>
        </w:rPr>
        <w:t>4.</w:t>
      </w:r>
      <w:r>
        <w:rPr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DSC curves of</w:t>
      </w:r>
      <w:r>
        <w:rPr>
          <w:rFonts w:hint="eastAsia" w:eastAsia="宋体"/>
          <w:b w:val="0"/>
          <w:bCs/>
          <w:sz w:val="24"/>
          <w:szCs w:val="24"/>
        </w:rPr>
        <w:t xml:space="preserve"> E-WCO/TEGDMA resins and other control samples</w:t>
      </w:r>
      <w:r>
        <w:rPr>
          <w:b w:val="0"/>
          <w:bCs/>
          <w:sz w:val="24"/>
          <w:szCs w:val="24"/>
        </w:rPr>
        <w:t xml:space="preserve">: (a) A1; (b) A2; (c) A3; (d) A4; (e) </w:t>
      </w:r>
      <w:r>
        <w:rPr>
          <w:rFonts w:hint="eastAsia" w:eastAsia="宋体"/>
          <w:b w:val="0"/>
          <w:bCs/>
          <w:sz w:val="24"/>
          <w:szCs w:val="24"/>
        </w:rPr>
        <w:t>pure</w:t>
      </w:r>
      <w:r>
        <w:rPr>
          <w:b w:val="0"/>
          <w:bCs/>
          <w:sz w:val="24"/>
          <w:szCs w:val="24"/>
        </w:rPr>
        <w:t xml:space="preserve"> TEGDMA; (f) ESO</w:t>
      </w:r>
      <w:r>
        <w:rPr>
          <w:rFonts w:hint="eastAsia" w:eastAsia="宋体"/>
          <w:b w:val="0"/>
          <w:bCs/>
          <w:sz w:val="24"/>
          <w:szCs w:val="24"/>
        </w:rPr>
        <w:t>/</w:t>
      </w:r>
      <w:r>
        <w:rPr>
          <w:b w:val="0"/>
          <w:bCs/>
          <w:sz w:val="24"/>
          <w:szCs w:val="24"/>
        </w:rPr>
        <w:t>TEGDMA</w:t>
      </w:r>
      <w:r>
        <w:rPr>
          <w:rFonts w:hint="eastAsia" w:eastAsia="宋体"/>
          <w:b w:val="0"/>
          <w:bCs/>
          <w:sz w:val="24"/>
          <w:szCs w:val="24"/>
        </w:rPr>
        <w:t xml:space="preserve"> resin</w:t>
      </w:r>
      <w:r>
        <w:rPr>
          <w:b w:val="0"/>
          <w:bCs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36845" cy="4008120"/>
            <wp:effectExtent l="0" t="0" r="8255" b="5080"/>
            <wp:docPr id="1" name="图片 1" descr="TEGDMA-D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EGDMA-DM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</w:rPr>
      </w:pPr>
      <w:r>
        <w:rPr>
          <w:b/>
          <w:bCs/>
        </w:rPr>
        <w:t>Figure S</w:t>
      </w:r>
      <w:r>
        <w:rPr>
          <w:rFonts w:hint="eastAsia"/>
          <w:b/>
          <w:bCs/>
        </w:rPr>
        <w:t>5.</w:t>
      </w:r>
      <w:r>
        <w:rPr>
          <w:b/>
          <w:bCs/>
        </w:rPr>
        <w:t xml:space="preserve"> </w:t>
      </w:r>
      <w:r>
        <w:rPr>
          <w:rFonts w:hint="eastAsia"/>
        </w:rPr>
        <w:t>S</w:t>
      </w:r>
      <w:r>
        <w:rPr>
          <w:rFonts w:hint="eastAsia" w:eastAsia="宋体"/>
          <w:lang w:val="en-US" w:eastAsia="zh-CN"/>
        </w:rPr>
        <w:t>torage modulus</w:t>
      </w:r>
      <w:r>
        <w:rPr>
          <w:rFonts w:hint="eastAsia"/>
        </w:rPr>
        <w:t xml:space="preserve"> curves of </w:t>
      </w:r>
      <w:r>
        <w:rPr>
          <w:rFonts w:hint="eastAsia" w:eastAsia="宋体"/>
          <w:bCs/>
        </w:rPr>
        <w:t>E-WCO/TEGDMA resins and other control samples.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</w:rPr>
      </w:pPr>
      <w:r>
        <w:drawing>
          <wp:inline distT="0" distB="0" distL="0" distR="0">
            <wp:extent cx="5168265" cy="3958590"/>
            <wp:effectExtent l="0" t="0" r="635" b="3810"/>
            <wp:docPr id="2011673947" name="图片 1" descr="D:/本科生/李贵梅/图片/ESO-TEGDMA LaShen.jpgESO-TEGDMA LaS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73947" name="图片 1" descr="D:/本科生/李贵梅/图片/ESO-TEGDMA LaShen.jpgESO-TEGDMA LaShe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0" r="40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等线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</w:rPr>
      </w:pPr>
      <w:r>
        <w:rPr>
          <w:b/>
          <w:bCs/>
        </w:rPr>
        <w:t>Figure S</w:t>
      </w:r>
      <w:r>
        <w:rPr>
          <w:rFonts w:hint="eastAsia" w:eastAsia="宋体"/>
          <w:b/>
          <w:bCs/>
          <w:lang w:val="en-US" w:eastAsia="zh-CN"/>
        </w:rPr>
        <w:t>6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</w:t>
      </w:r>
      <w:r>
        <w:rPr>
          <w:rFonts w:hint="eastAsia"/>
        </w:rPr>
        <w:t xml:space="preserve">Stress-strain curves of </w:t>
      </w:r>
      <w:r>
        <w:rPr>
          <w:rFonts w:hint="eastAsia" w:eastAsia="宋体"/>
          <w:bCs/>
        </w:rPr>
        <w:t>E-WCO/TEGDMA resins and other control samples.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461D93"/>
    <w:multiLevelType w:val="multilevel"/>
    <w:tmpl w:val="4E461D93"/>
    <w:lvl w:ilvl="0" w:tentative="0">
      <w:start w:val="13"/>
      <w:numFmt w:val="upperLetter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8253D0"/>
    <w:rsid w:val="00722B01"/>
    <w:rsid w:val="008253D0"/>
    <w:rsid w:val="12A935D4"/>
    <w:rsid w:val="23C528BA"/>
    <w:rsid w:val="259E3919"/>
    <w:rsid w:val="27A82389"/>
    <w:rsid w:val="2D892602"/>
    <w:rsid w:val="3EBD2C2B"/>
    <w:rsid w:val="6C93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MS Mincho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unhideWhenUsed/>
    <w:qFormat/>
    <w:uiPriority w:val="99"/>
    <w:pPr>
      <w:spacing w:before="100" w:beforeAutospacing="1" w:after="200"/>
      <w:jc w:val="center"/>
    </w:pPr>
    <w:rPr>
      <w:b/>
      <w:sz w:val="40"/>
      <w:szCs w:val="40"/>
    </w:rPr>
  </w:style>
  <w:style w:type="table" w:styleId="4">
    <w:name w:val="Table Grid"/>
    <w:basedOn w:val="3"/>
    <w:autoRedefine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itle2"/>
    <w:basedOn w:val="1"/>
    <w:autoRedefine/>
    <w:qFormat/>
    <w:uiPriority w:val="0"/>
    <w:rPr>
      <w:b/>
    </w:rPr>
  </w:style>
  <w:style w:type="paragraph" w:customStyle="1" w:styleId="7">
    <w:name w:val="Table of contents"/>
    <w:basedOn w:val="1"/>
    <w:uiPriority w:val="0"/>
  </w:style>
  <w:style w:type="paragraph" w:customStyle="1" w:styleId="8">
    <w:name w:val="Addresses"/>
    <w:basedOn w:val="1"/>
    <w:autoRedefine/>
    <w:qFormat/>
    <w:uiPriority w:val="0"/>
  </w:style>
  <w:style w:type="paragraph" w:customStyle="1" w:styleId="9">
    <w:name w:val="Authors Full"/>
    <w:basedOn w:val="1"/>
    <w:autoRedefine/>
    <w:qFormat/>
    <w:uiPriority w:val="0"/>
    <w:rPr>
      <w:i/>
    </w:rPr>
  </w:style>
  <w:style w:type="character" w:customStyle="1" w:styleId="10">
    <w:name w:val="正文文本 字符"/>
    <w:basedOn w:val="5"/>
    <w:link w:val="2"/>
    <w:autoRedefine/>
    <w:qFormat/>
    <w:uiPriority w:val="99"/>
    <w:rPr>
      <w:rFonts w:ascii="Times New Roman" w:hAnsi="Times New Roman" w:eastAsia="MS Mincho" w:cs="Times New Roman"/>
      <w:b/>
      <w:kern w:val="0"/>
      <w:sz w:val="40"/>
      <w:szCs w:val="40"/>
    </w:rPr>
  </w:style>
  <w:style w:type="paragraph" w:customStyle="1" w:styleId="11">
    <w:name w:val="Head 1"/>
    <w:basedOn w:val="1"/>
    <w:autoRedefine/>
    <w:qFormat/>
    <w:uiPriority w:val="0"/>
    <w:pPr>
      <w:spacing w:line="360" w:lineRule="auto"/>
    </w:pPr>
    <w:rPr>
      <w:b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277</Words>
  <Characters>1585</Characters>
  <Lines>13</Lines>
  <Paragraphs>3</Paragraphs>
  <TotalTime>125</TotalTime>
  <ScaleCrop>false</ScaleCrop>
  <LinksUpToDate>false</LinksUpToDate>
  <CharactersWithSpaces>1859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2023-11-14T02:57:00Z</dcterms:created>
  <dc:creator>梦雨 刘</dc:creator>
  <cp:lastModifiedBy>shopping1379311506</cp:lastModifiedBy>
  <dcterms:modified xsi:type="dcterms:W3CDTF">2024-02-17T12:59:05Z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CE0880505C51442D83EC66E05304ED10_12</vt:lpwstr>
  </property>
</Properties>
</file>