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b/>
          <w:bCs/>
          <w:sz w:val="24"/>
          <w:szCs w:val="24"/>
        </w:rPr>
      </w:pPr>
      <w:r>
        <w:rPr>
          <w:rFonts w:ascii="Times New Roman" w:hAnsi="Times New Roman"/>
          <w:b/>
          <w:bCs/>
          <w:sz w:val="24"/>
          <w:szCs w:val="24"/>
        </w:rPr>
        <w:t>SUPPLEMENTAL MATERIAL</w:t>
      </w:r>
    </w:p>
    <w:p>
      <w:pPr>
        <w:rPr>
          <w:rFonts w:ascii="Times New Roman" w:hAnsi="Times New Roman"/>
          <w:b/>
          <w:bCs/>
          <w:sz w:val="24"/>
          <w:szCs w:val="24"/>
        </w:rPr>
      </w:pPr>
    </w:p>
    <w:p>
      <w:pPr>
        <w:rPr>
          <w:rFonts w:ascii="Times New Roman" w:hAnsi="Times New Roman"/>
          <w:b/>
          <w:bCs/>
          <w:sz w:val="24"/>
          <w:szCs w:val="24"/>
        </w:rPr>
      </w:pPr>
      <w:r>
        <w:rPr>
          <w:rFonts w:hint="eastAsia" w:ascii="Times New Roman" w:hAnsi="Times New Roman"/>
          <w:b/>
          <w:bCs/>
          <w:sz w:val="24"/>
          <w:szCs w:val="24"/>
        </w:rPr>
        <w:t xml:space="preserve">Genetically Determined Telomere </w:t>
      </w:r>
      <w:r>
        <w:rPr>
          <w:rFonts w:hint="eastAsia" w:ascii="Times New Roman" w:hAnsi="Times New Roman"/>
          <w:b/>
          <w:bCs/>
          <w:sz w:val="24"/>
          <w:szCs w:val="24"/>
          <w:lang w:val="en-US" w:eastAsia="zh-CN"/>
        </w:rPr>
        <w:t>L</w:t>
      </w:r>
      <w:r>
        <w:rPr>
          <w:rFonts w:hint="eastAsia" w:ascii="Times New Roman" w:hAnsi="Times New Roman"/>
          <w:b/>
          <w:bCs/>
          <w:sz w:val="24"/>
          <w:szCs w:val="24"/>
        </w:rPr>
        <w:t>ength and Risk for Haematologic Diseases: Results from Large Prospective Cohorts and Mendelian Randomization Analysis</w:t>
      </w:r>
    </w:p>
    <w:p>
      <w:pPr>
        <w:rPr>
          <w:rFonts w:ascii="Times New Roman" w:hAnsi="Times New Roman"/>
          <w:b/>
          <w:bCs/>
          <w:sz w:val="24"/>
          <w:szCs w:val="24"/>
        </w:rPr>
      </w:pPr>
      <w:bookmarkStart w:id="0" w:name="_Toc57312688"/>
    </w:p>
    <w:bookmarkEnd w:id="0"/>
    <w:p>
      <w:pPr>
        <w:jc w:val="left"/>
        <w:rPr>
          <w:rFonts w:ascii="Times New Roman" w:hAnsi="Times New Roman"/>
          <w:sz w:val="20"/>
          <w:szCs w:val="20"/>
        </w:rPr>
      </w:pPr>
      <w:r>
        <w:rPr>
          <w:rFonts w:hint="eastAsia" w:ascii="Times New Roman" w:hAnsi="Times New Roman"/>
          <w:sz w:val="20"/>
          <w:szCs w:val="20"/>
        </w:rPr>
        <w:t>Yang Li</w:t>
      </w:r>
      <w:r>
        <w:rPr>
          <w:rFonts w:hint="eastAsia" w:ascii="Times New Roman" w:hAnsi="Times New Roman"/>
          <w:sz w:val="20"/>
          <w:szCs w:val="20"/>
          <w:vertAlign w:val="superscript"/>
        </w:rPr>
        <w:t>1,2*</w:t>
      </w:r>
      <w:r>
        <w:rPr>
          <w:rFonts w:hint="eastAsia" w:ascii="Times New Roman" w:hAnsi="Times New Roman"/>
          <w:sz w:val="20"/>
          <w:szCs w:val="20"/>
        </w:rPr>
        <w:t>, Jia Chen</w:t>
      </w:r>
      <w:r>
        <w:rPr>
          <w:rFonts w:hint="eastAsia" w:ascii="Times New Roman" w:hAnsi="Times New Roman"/>
          <w:sz w:val="20"/>
          <w:szCs w:val="20"/>
          <w:vertAlign w:val="superscript"/>
        </w:rPr>
        <w:t>1,2*</w:t>
      </w:r>
      <w:r>
        <w:rPr>
          <w:rFonts w:hint="eastAsia" w:ascii="Times New Roman" w:hAnsi="Times New Roman"/>
          <w:sz w:val="20"/>
          <w:szCs w:val="20"/>
        </w:rPr>
        <w:t>, Ting Sun</w:t>
      </w:r>
      <w:r>
        <w:rPr>
          <w:rFonts w:hint="eastAsia" w:ascii="Times New Roman" w:hAnsi="Times New Roman"/>
          <w:sz w:val="20"/>
          <w:szCs w:val="20"/>
          <w:vertAlign w:val="superscript"/>
        </w:rPr>
        <w:t>1,2*</w:t>
      </w:r>
      <w:r>
        <w:rPr>
          <w:rFonts w:hint="eastAsia" w:ascii="Times New Roman" w:hAnsi="Times New Roman"/>
          <w:sz w:val="20"/>
          <w:szCs w:val="20"/>
        </w:rPr>
        <w:t>, Rongfeng Fu</w:t>
      </w:r>
      <w:r>
        <w:rPr>
          <w:rFonts w:hint="eastAsia" w:ascii="Times New Roman" w:hAnsi="Times New Roman"/>
          <w:sz w:val="20"/>
          <w:szCs w:val="20"/>
          <w:vertAlign w:val="superscript"/>
        </w:rPr>
        <w:t>1,2</w:t>
      </w:r>
      <w:r>
        <w:rPr>
          <w:rFonts w:hint="eastAsia" w:ascii="Times New Roman" w:hAnsi="Times New Roman"/>
          <w:sz w:val="20"/>
          <w:szCs w:val="20"/>
        </w:rPr>
        <w:t>, Xiaofan Liu</w:t>
      </w:r>
      <w:r>
        <w:rPr>
          <w:rFonts w:hint="eastAsia" w:ascii="Times New Roman" w:hAnsi="Times New Roman"/>
          <w:sz w:val="20"/>
          <w:szCs w:val="20"/>
          <w:vertAlign w:val="superscript"/>
        </w:rPr>
        <w:t>1,2</w:t>
      </w:r>
      <w:r>
        <w:rPr>
          <w:rFonts w:hint="eastAsia" w:ascii="Times New Roman" w:hAnsi="Times New Roman"/>
          <w:sz w:val="20"/>
          <w:szCs w:val="20"/>
        </w:rPr>
        <w:t>, Feng Xue</w:t>
      </w:r>
      <w:r>
        <w:rPr>
          <w:rFonts w:hint="eastAsia" w:ascii="Times New Roman" w:hAnsi="Times New Roman"/>
          <w:sz w:val="20"/>
          <w:szCs w:val="20"/>
          <w:vertAlign w:val="superscript"/>
        </w:rPr>
        <w:t>1,2</w:t>
      </w:r>
      <w:r>
        <w:rPr>
          <w:rFonts w:hint="eastAsia" w:ascii="Times New Roman" w:hAnsi="Times New Roman"/>
          <w:sz w:val="20"/>
          <w:szCs w:val="20"/>
        </w:rPr>
        <w:t>, Wei Liu</w:t>
      </w:r>
      <w:r>
        <w:rPr>
          <w:rFonts w:hint="eastAsia" w:ascii="Times New Roman" w:hAnsi="Times New Roman"/>
          <w:sz w:val="20"/>
          <w:szCs w:val="20"/>
          <w:vertAlign w:val="superscript"/>
        </w:rPr>
        <w:t>1,2</w:t>
      </w:r>
      <w:r>
        <w:rPr>
          <w:rFonts w:hint="eastAsia" w:ascii="Times New Roman" w:hAnsi="Times New Roman"/>
          <w:sz w:val="20"/>
          <w:szCs w:val="20"/>
        </w:rPr>
        <w:t>, Yunfei Chen</w:t>
      </w:r>
      <w:r>
        <w:rPr>
          <w:rFonts w:hint="eastAsia" w:ascii="Times New Roman" w:hAnsi="Times New Roman"/>
          <w:sz w:val="20"/>
          <w:szCs w:val="20"/>
          <w:vertAlign w:val="superscript"/>
        </w:rPr>
        <w:t>1,2</w:t>
      </w:r>
      <w:r>
        <w:rPr>
          <w:rFonts w:hint="eastAsia" w:ascii="Times New Roman" w:hAnsi="Times New Roman"/>
          <w:sz w:val="20"/>
          <w:szCs w:val="20"/>
        </w:rPr>
        <w:t>, Mankai Ju</w:t>
      </w:r>
      <w:r>
        <w:rPr>
          <w:rFonts w:hint="eastAsia" w:ascii="Times New Roman" w:hAnsi="Times New Roman"/>
          <w:sz w:val="20"/>
          <w:szCs w:val="20"/>
          <w:vertAlign w:val="superscript"/>
        </w:rPr>
        <w:t>1,2</w:t>
      </w:r>
      <w:r>
        <w:rPr>
          <w:rFonts w:hint="eastAsia" w:ascii="Times New Roman" w:hAnsi="Times New Roman"/>
          <w:sz w:val="20"/>
          <w:szCs w:val="20"/>
        </w:rPr>
        <w:t>, Xinyue Dai</w:t>
      </w:r>
      <w:r>
        <w:rPr>
          <w:rFonts w:hint="eastAsia" w:ascii="Times New Roman" w:hAnsi="Times New Roman"/>
          <w:sz w:val="20"/>
          <w:szCs w:val="20"/>
          <w:vertAlign w:val="superscript"/>
        </w:rPr>
        <w:t>1,2</w:t>
      </w:r>
      <w:r>
        <w:rPr>
          <w:rFonts w:hint="eastAsia" w:ascii="Times New Roman" w:hAnsi="Times New Roman"/>
          <w:sz w:val="20"/>
          <w:szCs w:val="20"/>
        </w:rPr>
        <w:t>, Huiyuan Li</w:t>
      </w:r>
      <w:r>
        <w:rPr>
          <w:rFonts w:hint="eastAsia" w:ascii="Times New Roman" w:hAnsi="Times New Roman"/>
          <w:sz w:val="20"/>
          <w:szCs w:val="20"/>
          <w:vertAlign w:val="superscript"/>
        </w:rPr>
        <w:t>1,2</w:t>
      </w:r>
      <w:r>
        <w:rPr>
          <w:rFonts w:hint="eastAsia" w:ascii="Times New Roman" w:hAnsi="Times New Roman"/>
          <w:sz w:val="20"/>
          <w:szCs w:val="20"/>
        </w:rPr>
        <w:t>, Wentian Wang</w:t>
      </w:r>
      <w:r>
        <w:rPr>
          <w:rFonts w:hint="eastAsia" w:ascii="Times New Roman" w:hAnsi="Times New Roman"/>
          <w:sz w:val="20"/>
          <w:szCs w:val="20"/>
          <w:vertAlign w:val="superscript"/>
        </w:rPr>
        <w:t>1,2</w:t>
      </w:r>
      <w:r>
        <w:rPr>
          <w:rFonts w:hint="eastAsia" w:ascii="Times New Roman" w:hAnsi="Times New Roman"/>
          <w:sz w:val="20"/>
          <w:szCs w:val="20"/>
        </w:rPr>
        <w:t>, Ying Chi</w:t>
      </w:r>
      <w:r>
        <w:rPr>
          <w:rFonts w:hint="eastAsia" w:ascii="Times New Roman" w:hAnsi="Times New Roman"/>
          <w:sz w:val="20"/>
          <w:szCs w:val="20"/>
          <w:vertAlign w:val="superscript"/>
        </w:rPr>
        <w:t>1,2</w:t>
      </w:r>
      <w:r>
        <w:rPr>
          <w:rFonts w:hint="eastAsia" w:ascii="Times New Roman" w:hAnsi="Times New Roman"/>
          <w:sz w:val="20"/>
          <w:szCs w:val="20"/>
        </w:rPr>
        <w:t>, Lei Zhang</w:t>
      </w:r>
      <w:r>
        <w:rPr>
          <w:rFonts w:hint="eastAsia" w:ascii="Times New Roman" w:hAnsi="Times New Roman"/>
          <w:sz w:val="20"/>
          <w:szCs w:val="20"/>
          <w:vertAlign w:val="superscript"/>
        </w:rPr>
        <w:t>1,2</w:t>
      </w:r>
      <w:r>
        <w:rPr>
          <w:rFonts w:ascii="Times New Roman" w:hAnsi="Times New Roman"/>
          <w:sz w:val="20"/>
          <w:szCs w:val="20"/>
          <w:vertAlign w:val="superscript"/>
        </w:rPr>
        <w:t xml:space="preserve"> </w:t>
      </w:r>
    </w:p>
    <w:p>
      <w:pPr>
        <w:jc w:val="left"/>
        <w:rPr>
          <w:rFonts w:ascii="Times New Roman" w:hAnsi="Times New Roman"/>
          <w:sz w:val="20"/>
          <w:szCs w:val="20"/>
          <w:vertAlign w:val="superscript"/>
        </w:rPr>
      </w:pPr>
      <w:bookmarkStart w:id="1" w:name="OLE_LINK1"/>
      <w:bookmarkStart w:id="2" w:name="OLE_LINK2"/>
    </w:p>
    <w:bookmarkEnd w:id="1"/>
    <w:bookmarkEnd w:id="2"/>
    <w:p>
      <w:pPr>
        <w:jc w:val="left"/>
        <w:rPr>
          <w:rFonts w:hint="eastAsia" w:ascii="Times New Roman" w:hAnsi="Times New Roman"/>
          <w:sz w:val="20"/>
          <w:szCs w:val="20"/>
          <w:lang w:val="en-US" w:eastAsia="zh-CN"/>
        </w:rPr>
      </w:pPr>
      <w:r>
        <w:rPr>
          <w:rFonts w:hint="eastAsia" w:ascii="Times New Roman" w:hAnsi="Times New Roman"/>
          <w:sz w:val="20"/>
          <w:szCs w:val="20"/>
          <w:lang w:val="en-US" w:eastAsia="zh-CN"/>
        </w:rPr>
        <w:t>1.State Key Laboratory of Experimental Hematology, National Clinical Research Center for Blood Diseases, Haihe Laboratory of Cell Ecosystem, Institute of Hematology &amp; Blood Diseases Hospital, Chinese Academy of Medical Sciences &amp; Peking Union Medical College, Tianjin Key Laboratory of Gene Therapy for Blood Diseases, CAMS Key Laboratory of Gene Therapy for Blood Diseases, Tianjin 300020, China;</w:t>
      </w:r>
    </w:p>
    <w:p>
      <w:pPr>
        <w:jc w:val="left"/>
        <w:rPr>
          <w:rFonts w:hint="eastAsia" w:ascii="Times New Roman" w:hAnsi="Times New Roman"/>
          <w:sz w:val="20"/>
          <w:szCs w:val="20"/>
          <w:lang w:val="en-US" w:eastAsia="zh-CN"/>
        </w:rPr>
      </w:pPr>
      <w:r>
        <w:rPr>
          <w:rFonts w:hint="eastAsia" w:ascii="Times New Roman" w:hAnsi="Times New Roman"/>
          <w:sz w:val="20"/>
          <w:szCs w:val="20"/>
          <w:lang w:val="en-US" w:eastAsia="zh-CN"/>
        </w:rPr>
        <w:t>2. Tianjin Institutes of Health Science, Tianjin 301600, China;</w:t>
      </w:r>
    </w:p>
    <w:p>
      <w:pPr>
        <w:jc w:val="left"/>
        <w:rPr>
          <w:rFonts w:hint="default" w:ascii="Times New Roman" w:hAnsi="Times New Roman"/>
          <w:sz w:val="20"/>
          <w:szCs w:val="20"/>
          <w:lang w:val="en-US" w:eastAsia="zh-CN"/>
        </w:rPr>
      </w:pPr>
      <w:r>
        <w:rPr>
          <w:rFonts w:hint="default" w:ascii="Times New Roman" w:hAnsi="Times New Roman"/>
          <w:sz w:val="20"/>
          <w:szCs w:val="20"/>
          <w:lang w:val="en-US" w:eastAsia="zh-CN"/>
        </w:rPr>
        <w:t>3. School of Population Medicine and Public Health, Chinese Academy of Medical Sciences &amp; Peking Union Medical College, Beijing 100730, China</w:t>
      </w:r>
      <w:r>
        <w:rPr>
          <w:rFonts w:hint="eastAsia" w:ascii="Times New Roman" w:hAnsi="Times New Roman"/>
          <w:sz w:val="20"/>
          <w:szCs w:val="20"/>
          <w:lang w:val="en-US" w:eastAsia="zh-CN"/>
        </w:rPr>
        <w:t>.</w:t>
      </w:r>
    </w:p>
    <w:p>
      <w:pPr>
        <w:jc w:val="left"/>
        <w:rPr>
          <w:rFonts w:hint="eastAsia" w:ascii="Times New Roman" w:hAnsi="Times New Roman"/>
          <w:sz w:val="20"/>
          <w:szCs w:val="20"/>
          <w:lang w:val="en-US" w:eastAsia="zh-CN"/>
        </w:rPr>
      </w:pPr>
      <w:r>
        <w:rPr>
          <w:rFonts w:hint="eastAsia" w:ascii="Times New Roman" w:hAnsi="Times New Roman"/>
          <w:sz w:val="20"/>
          <w:szCs w:val="20"/>
          <w:lang w:val="en-US" w:eastAsia="zh-CN"/>
        </w:rPr>
        <w:t>*Yang Li, Jia Chen and Ting Sun contributed equally to this study and should be regarded as co-first authors.</w:t>
      </w:r>
    </w:p>
    <w:p>
      <w:pPr>
        <w:jc w:val="left"/>
        <w:rPr>
          <w:rFonts w:hint="eastAsia" w:ascii="Times New Roman" w:hAnsi="Times New Roman"/>
          <w:sz w:val="20"/>
          <w:szCs w:val="20"/>
          <w:lang w:val="en-US" w:eastAsia="zh-CN"/>
        </w:rPr>
      </w:pPr>
      <w:r>
        <w:rPr>
          <w:rFonts w:hint="eastAsia" w:ascii="Times New Roman" w:hAnsi="Times New Roman"/>
          <w:sz w:val="20"/>
          <w:szCs w:val="20"/>
          <w:lang w:val="en-US" w:eastAsia="zh-CN"/>
        </w:rPr>
        <w:t>Correspondence:</w:t>
      </w:r>
    </w:p>
    <w:p>
      <w:pPr>
        <w:jc w:val="left"/>
        <w:rPr>
          <w:rFonts w:hint="eastAsia" w:ascii="Times New Roman" w:hAnsi="Times New Roman"/>
          <w:sz w:val="20"/>
          <w:szCs w:val="20"/>
          <w:lang w:val="en-US" w:eastAsia="zh-CN"/>
        </w:rPr>
      </w:pPr>
      <w:r>
        <w:rPr>
          <w:rFonts w:hint="eastAsia" w:ascii="Times New Roman" w:hAnsi="Times New Roman"/>
          <w:sz w:val="20"/>
          <w:szCs w:val="20"/>
          <w:lang w:val="en-US" w:eastAsia="zh-CN"/>
        </w:rPr>
        <w:t>Lei Zhang, State Key Laboratory of Experimental Hematology, National Clinical Research Center for Blood Diseases, Haihe Laboratory of Cell Ecosystem, Institute of Hematology &amp; Blood Diseases Hospital, Chinese Academy of Medical Sciences &amp; Peking Union Medical College, Tianjin Key Laboratory of Gene Therapy for Blood Diseases, CAMS Key Laboratory of Gene Therapy for Blood Diseases, Tianjin 300020, China; Tianjin Institutes of Health Science, Tianjin 301600, China. Email: zhanglei1@ihcams.ac.cn.</w:t>
      </w:r>
    </w:p>
    <w:p>
      <w:pPr>
        <w:jc w:val="left"/>
        <w:rPr>
          <w:rFonts w:hint="eastAsia" w:ascii="Times New Roman" w:hAnsi="Times New Roman"/>
          <w:sz w:val="20"/>
          <w:szCs w:val="20"/>
          <w:lang w:val="en-US" w:eastAsia="zh-CN"/>
        </w:rPr>
      </w:pPr>
    </w:p>
    <w:p>
      <w:pPr>
        <w:jc w:val="left"/>
        <w:rPr>
          <w:rFonts w:hint="eastAsia" w:ascii="Times New Roman" w:hAnsi="Times New Roman"/>
          <w:sz w:val="20"/>
          <w:szCs w:val="20"/>
          <w:lang w:val="en-US" w:eastAsia="zh-CN"/>
        </w:rPr>
      </w:pPr>
    </w:p>
    <w:p>
      <w:pPr>
        <w:jc w:val="left"/>
        <w:rPr>
          <w:rFonts w:hint="eastAsia" w:ascii="Times New Roman" w:hAnsi="Times New Roman"/>
          <w:sz w:val="20"/>
          <w:szCs w:val="20"/>
          <w:lang w:val="en-US" w:eastAsia="zh-CN"/>
        </w:rPr>
      </w:pPr>
    </w:p>
    <w:p>
      <w:pPr>
        <w:jc w:val="left"/>
        <w:rPr>
          <w:rFonts w:hint="eastAsia" w:ascii="Times New Roman" w:hAnsi="Times New Roman"/>
          <w:sz w:val="20"/>
          <w:szCs w:val="20"/>
          <w:lang w:val="en-US" w:eastAsia="zh-CN"/>
        </w:rPr>
      </w:pPr>
    </w:p>
    <w:p>
      <w:pPr>
        <w:jc w:val="left"/>
        <w:rPr>
          <w:rFonts w:hint="eastAsia" w:ascii="Times New Roman" w:hAnsi="Times New Roman"/>
          <w:sz w:val="20"/>
          <w:szCs w:val="20"/>
          <w:lang w:val="en-US" w:eastAsia="zh-CN"/>
        </w:rPr>
      </w:pPr>
    </w:p>
    <w:p>
      <w:pPr>
        <w:jc w:val="left"/>
        <w:rPr>
          <w:rFonts w:hint="eastAsia" w:ascii="Times New Roman" w:hAnsi="Times New Roman"/>
          <w:sz w:val="20"/>
          <w:szCs w:val="20"/>
          <w:lang w:val="en-US" w:eastAsia="zh-CN"/>
        </w:rPr>
      </w:pPr>
    </w:p>
    <w:p>
      <w:pPr>
        <w:rPr>
          <w:rFonts w:ascii="Times New Roman" w:hAnsi="Times New Roman"/>
          <w:b/>
          <w:bCs/>
          <w:szCs w:val="21"/>
        </w:rPr>
      </w:pPr>
    </w:p>
    <w:p>
      <w:pPr>
        <w:rPr>
          <w:rFonts w:ascii="Times New Roman" w:hAnsi="Times New Roman"/>
          <w:b/>
          <w:bCs/>
          <w:color w:val="0000FF"/>
          <w:sz w:val="20"/>
          <w:szCs w:val="20"/>
        </w:rPr>
      </w:pPr>
      <w:r>
        <w:rPr>
          <w:rFonts w:ascii="Times New Roman" w:hAnsi="Times New Roman"/>
          <w:b/>
          <w:bCs/>
          <w:color w:val="4472C4" w:themeColor="accent1"/>
          <w:szCs w:val="21"/>
          <w14:textFill>
            <w14:solidFill>
              <w14:schemeClr w14:val="accent1"/>
            </w14:solidFill>
          </w14:textFill>
        </w:rPr>
        <w:t>Supplementary Materials</w:t>
      </w:r>
    </w:p>
    <w:p>
      <w:pPr>
        <w:rPr>
          <w:rFonts w:ascii="Times New Roman" w:hAnsi="Times New Roman"/>
          <w:color w:val="000000" w:themeColor="text1"/>
          <w:sz w:val="20"/>
          <w:szCs w:val="20"/>
          <w14:textFill>
            <w14:solidFill>
              <w14:schemeClr w14:val="tx1"/>
            </w14:solidFill>
          </w14:textFill>
        </w:rPr>
      </w:pPr>
      <w:r>
        <w:rPr>
          <w:rFonts w:ascii="Times New Roman" w:hAnsi="Times New Roman"/>
          <w:b/>
          <w:bCs/>
          <w:color w:val="000000" w:themeColor="text1"/>
          <w:sz w:val="20"/>
          <w:szCs w:val="20"/>
          <w14:textFill>
            <w14:solidFill>
              <w14:schemeClr w14:val="tx1"/>
            </w14:solidFill>
          </w14:textFill>
        </w:rPr>
        <w:t xml:space="preserve">Supplementary Table </w:t>
      </w:r>
      <w:r>
        <w:rPr>
          <w:rFonts w:hint="eastAsia" w:ascii="Times New Roman" w:hAnsi="Times New Roman"/>
          <w:b/>
          <w:bCs/>
          <w:color w:val="000000" w:themeColor="text1"/>
          <w:sz w:val="20"/>
          <w:szCs w:val="20"/>
          <w:lang w:val="en-US" w:eastAsia="zh-CN"/>
          <w14:textFill>
            <w14:solidFill>
              <w14:schemeClr w14:val="tx1"/>
            </w14:solidFill>
          </w14:textFill>
        </w:rPr>
        <w:t>1</w:t>
      </w:r>
      <w:r>
        <w:rPr>
          <w:rFonts w:hint="eastAsia" w:ascii="Times New Roman" w:hAnsi="Times New Roman"/>
          <w:b/>
          <w:bCs/>
          <w:color w:val="000000" w:themeColor="text1"/>
          <w:sz w:val="20"/>
          <w:szCs w:val="20"/>
          <w14:textFill>
            <w14:solidFill>
              <w14:schemeClr w14:val="tx1"/>
            </w14:solidFill>
          </w14:textFill>
        </w:rPr>
        <w:t>.</w:t>
      </w:r>
      <w:r>
        <w:rPr>
          <w:rFonts w:ascii="Times New Roman" w:hAnsi="Times New Roman"/>
          <w:color w:val="000000" w:themeColor="text1"/>
          <w:sz w:val="20"/>
          <w:szCs w:val="20"/>
          <w14:textFill>
            <w14:solidFill>
              <w14:schemeClr w14:val="tx1"/>
            </w14:solidFill>
          </w14:textFill>
        </w:rPr>
        <w:t xml:space="preserve"> </w:t>
      </w:r>
      <w:r>
        <w:rPr>
          <w:rFonts w:hint="eastAsia" w:ascii="Times New Roman" w:hAnsi="Times New Roman"/>
          <w:color w:val="000000" w:themeColor="text1"/>
          <w:sz w:val="20"/>
          <w:szCs w:val="20"/>
          <w14:textFill>
            <w14:solidFill>
              <w14:schemeClr w14:val="tx1"/>
            </w14:solidFill>
          </w14:textFill>
        </w:rPr>
        <w:t>Index instrumental SNPs for telomere length and the effects, standard errors on haematologic diseases in the discovery analysi</w:t>
      </w:r>
      <w:r>
        <w:rPr>
          <w:rFonts w:hint="eastAsia" w:ascii="Times New Roman" w:hAnsi="Times New Roman"/>
          <w:color w:val="000000" w:themeColor="text1"/>
          <w:sz w:val="20"/>
          <w:szCs w:val="20"/>
          <w:lang w:val="en-US" w:eastAsia="zh-CN"/>
          <w14:textFill>
            <w14:solidFill>
              <w14:schemeClr w14:val="tx1"/>
            </w14:solidFill>
          </w14:textFill>
        </w:rPr>
        <w:t>s</w:t>
      </w:r>
      <w:r>
        <w:rPr>
          <w:rFonts w:ascii="Times New Roman" w:hAnsi="Times New Roman"/>
          <w:color w:val="000000" w:themeColor="text1"/>
          <w:sz w:val="20"/>
          <w:szCs w:val="20"/>
          <w14:textFill>
            <w14:solidFill>
              <w14:schemeClr w14:val="tx1"/>
            </w14:solidFill>
          </w14:textFill>
        </w:rPr>
        <w:t>.</w:t>
      </w:r>
    </w:p>
    <w:p>
      <w:pPr>
        <w:rPr>
          <w:rFonts w:hint="eastAsia" w:ascii="Times New Roman" w:hAnsi="Times New Roman"/>
          <w:color w:val="000000" w:themeColor="text1"/>
          <w:sz w:val="20"/>
          <w:szCs w:val="20"/>
          <w:lang w:val="en-US" w:eastAsia="zh-CN"/>
          <w14:textFill>
            <w14:solidFill>
              <w14:schemeClr w14:val="tx1"/>
            </w14:solidFill>
          </w14:textFill>
        </w:rPr>
      </w:pPr>
      <w:r>
        <w:rPr>
          <w:rFonts w:ascii="Times New Roman" w:hAnsi="Times New Roman"/>
          <w:b/>
          <w:bCs/>
          <w:color w:val="000000" w:themeColor="text1"/>
          <w:sz w:val="20"/>
          <w:szCs w:val="20"/>
          <w14:textFill>
            <w14:solidFill>
              <w14:schemeClr w14:val="tx1"/>
            </w14:solidFill>
          </w14:textFill>
        </w:rPr>
        <w:t xml:space="preserve">Supplementary Table </w:t>
      </w:r>
      <w:r>
        <w:rPr>
          <w:rFonts w:hint="eastAsia" w:ascii="Times New Roman" w:hAnsi="Times New Roman"/>
          <w:b/>
          <w:bCs/>
          <w:color w:val="000000" w:themeColor="text1"/>
          <w:sz w:val="20"/>
          <w:szCs w:val="20"/>
          <w:lang w:val="en-US" w:eastAsia="zh-CN"/>
          <w14:textFill>
            <w14:solidFill>
              <w14:schemeClr w14:val="tx1"/>
            </w14:solidFill>
          </w14:textFill>
        </w:rPr>
        <w:t>2</w:t>
      </w:r>
      <w:r>
        <w:rPr>
          <w:rFonts w:ascii="Times New Roman" w:hAnsi="Times New Roman"/>
          <w:b/>
          <w:bCs/>
          <w:color w:val="000000" w:themeColor="text1"/>
          <w:sz w:val="20"/>
          <w:szCs w:val="20"/>
          <w14:textFill>
            <w14:solidFill>
              <w14:schemeClr w14:val="tx1"/>
            </w14:solidFill>
          </w14:textFill>
        </w:rPr>
        <w:t xml:space="preserve">. </w:t>
      </w:r>
      <w:r>
        <w:rPr>
          <w:rFonts w:hint="eastAsia" w:ascii="Times New Roman" w:hAnsi="Times New Roman"/>
          <w:color w:val="000000" w:themeColor="text1"/>
          <w:sz w:val="20"/>
          <w:szCs w:val="20"/>
          <w14:textFill>
            <w14:solidFill>
              <w14:schemeClr w14:val="tx1"/>
            </w14:solidFill>
          </w14:textFill>
        </w:rPr>
        <w:t>Index instrumental SNPs for telomere length and the effects, standard errors on haematologic diseases in the validation analysis</w:t>
      </w:r>
      <w:r>
        <w:rPr>
          <w:rFonts w:hint="eastAsia" w:ascii="Times New Roman" w:hAnsi="Times New Roman"/>
          <w:color w:val="000000" w:themeColor="text1"/>
          <w:sz w:val="20"/>
          <w:szCs w:val="20"/>
          <w:lang w:val="en-US" w:eastAsia="zh-CN"/>
          <w14:textFill>
            <w14:solidFill>
              <w14:schemeClr w14:val="tx1"/>
            </w14:solidFill>
          </w14:textFill>
        </w:rPr>
        <w:t>.</w:t>
      </w:r>
    </w:p>
    <w:p>
      <w:pPr>
        <w:rPr>
          <w:rFonts w:hint="eastAsia" w:ascii="Times New Roman" w:hAnsi="Times New Roman" w:eastAsia="等线"/>
          <w:b w:val="0"/>
          <w:bCs w:val="0"/>
          <w:color w:val="000000" w:themeColor="text1"/>
          <w:sz w:val="20"/>
          <w:szCs w:val="20"/>
          <w:lang w:val="en-US" w:eastAsia="zh-CN"/>
          <w14:textFill>
            <w14:solidFill>
              <w14:schemeClr w14:val="tx1"/>
            </w14:solidFill>
          </w14:textFill>
        </w:rPr>
      </w:pPr>
      <w:r>
        <w:rPr>
          <w:rFonts w:ascii="Times New Roman" w:hAnsi="Times New Roman"/>
          <w:b/>
          <w:bCs/>
          <w:color w:val="000000" w:themeColor="text1"/>
          <w:sz w:val="20"/>
          <w:szCs w:val="20"/>
          <w14:textFill>
            <w14:solidFill>
              <w14:schemeClr w14:val="tx1"/>
            </w14:solidFill>
          </w14:textFill>
        </w:rPr>
        <w:t xml:space="preserve">Supplementary Table </w:t>
      </w:r>
      <w:r>
        <w:rPr>
          <w:rFonts w:hint="eastAsia" w:ascii="Times New Roman" w:hAnsi="Times New Roman"/>
          <w:b/>
          <w:bCs/>
          <w:color w:val="000000" w:themeColor="text1"/>
          <w:sz w:val="20"/>
          <w:szCs w:val="20"/>
          <w:lang w:val="en-US" w:eastAsia="zh-CN"/>
          <w14:textFill>
            <w14:solidFill>
              <w14:schemeClr w14:val="tx1"/>
            </w14:solidFill>
          </w14:textFill>
        </w:rPr>
        <w:t>3</w:t>
      </w:r>
      <w:r>
        <w:rPr>
          <w:rFonts w:ascii="Times New Roman" w:hAnsi="Times New Roman"/>
          <w:b/>
          <w:bCs/>
          <w:color w:val="000000" w:themeColor="text1"/>
          <w:sz w:val="20"/>
          <w:szCs w:val="20"/>
          <w14:textFill>
            <w14:solidFill>
              <w14:schemeClr w14:val="tx1"/>
            </w14:solidFill>
          </w14:textFill>
        </w:rPr>
        <w:t>.</w:t>
      </w:r>
      <w:r>
        <w:rPr>
          <w:rFonts w:hint="eastAsia" w:ascii="Times New Roman" w:hAnsi="Times New Roman"/>
          <w:b/>
          <w:bCs/>
          <w:color w:val="000000" w:themeColor="text1"/>
          <w:sz w:val="20"/>
          <w:szCs w:val="20"/>
          <w:lang w:val="en-US" w:eastAsia="zh-CN"/>
          <w14:textFill>
            <w14:solidFill>
              <w14:schemeClr w14:val="tx1"/>
            </w14:solidFill>
          </w14:textFill>
        </w:rPr>
        <w:t xml:space="preserve"> </w:t>
      </w:r>
      <w:r>
        <w:rPr>
          <w:rFonts w:hint="eastAsia" w:ascii="Times New Roman" w:hAnsi="Times New Roman"/>
          <w:b w:val="0"/>
          <w:bCs w:val="0"/>
          <w:color w:val="000000" w:themeColor="text1"/>
          <w:sz w:val="20"/>
          <w:szCs w:val="20"/>
          <w:lang w:val="en-US" w:eastAsia="zh-CN"/>
          <w14:textFill>
            <w14:solidFill>
              <w14:schemeClr w14:val="tx1"/>
            </w14:solidFill>
          </w14:textFill>
        </w:rPr>
        <w:t>Index instrumental SNPs for DNA methylation GrimAge acceleration and the effects, standard errors on haematologic diseases in the discovery analysis.</w:t>
      </w:r>
    </w:p>
    <w:p>
      <w:pPr>
        <w:rPr>
          <w:rFonts w:hint="eastAsia" w:ascii="Times New Roman" w:hAnsi="Times New Roman"/>
          <w:color w:val="000000" w:themeColor="text1"/>
          <w:sz w:val="20"/>
          <w:szCs w:val="20"/>
          <w14:textFill>
            <w14:solidFill>
              <w14:schemeClr w14:val="tx1"/>
            </w14:solidFill>
          </w14:textFill>
        </w:rPr>
      </w:pPr>
      <w:r>
        <w:rPr>
          <w:rFonts w:ascii="Times New Roman" w:hAnsi="Times New Roman"/>
          <w:b/>
          <w:bCs/>
          <w:color w:val="000000" w:themeColor="text1"/>
          <w:sz w:val="20"/>
          <w:szCs w:val="20"/>
          <w14:textFill>
            <w14:solidFill>
              <w14:schemeClr w14:val="tx1"/>
            </w14:solidFill>
          </w14:textFill>
        </w:rPr>
        <w:t xml:space="preserve">Supplementary Table </w:t>
      </w:r>
      <w:r>
        <w:rPr>
          <w:rFonts w:hint="eastAsia" w:ascii="Times New Roman" w:hAnsi="Times New Roman"/>
          <w:b/>
          <w:bCs/>
          <w:color w:val="000000" w:themeColor="text1"/>
          <w:sz w:val="20"/>
          <w:szCs w:val="20"/>
          <w:lang w:val="en-US" w:eastAsia="zh-CN"/>
          <w14:textFill>
            <w14:solidFill>
              <w14:schemeClr w14:val="tx1"/>
            </w14:solidFill>
          </w14:textFill>
        </w:rPr>
        <w:t>4</w:t>
      </w:r>
      <w:r>
        <w:rPr>
          <w:rFonts w:ascii="Times New Roman" w:hAnsi="Times New Roman"/>
          <w:b/>
          <w:bCs/>
          <w:color w:val="000000" w:themeColor="text1"/>
          <w:sz w:val="20"/>
          <w:szCs w:val="20"/>
          <w14:textFill>
            <w14:solidFill>
              <w14:schemeClr w14:val="tx1"/>
            </w14:solidFill>
          </w14:textFill>
        </w:rPr>
        <w:t>.</w:t>
      </w:r>
      <w:r>
        <w:rPr>
          <w:rFonts w:hint="eastAsia" w:ascii="Times New Roman" w:hAnsi="Times New Roman"/>
          <w:b/>
          <w:bCs/>
          <w:color w:val="000000" w:themeColor="text1"/>
          <w:sz w:val="20"/>
          <w:szCs w:val="20"/>
          <w:lang w:val="en-US" w:eastAsia="zh-CN"/>
          <w14:textFill>
            <w14:solidFill>
              <w14:schemeClr w14:val="tx1"/>
            </w14:solidFill>
          </w14:textFill>
        </w:rPr>
        <w:t xml:space="preserve"> </w:t>
      </w:r>
      <w:r>
        <w:rPr>
          <w:rFonts w:hint="eastAsia" w:ascii="Times New Roman" w:hAnsi="Times New Roman"/>
          <w:color w:val="000000" w:themeColor="text1"/>
          <w:sz w:val="20"/>
          <w:szCs w:val="20"/>
          <w14:textFill>
            <w14:solidFill>
              <w14:schemeClr w14:val="tx1"/>
            </w14:solidFill>
          </w14:textFill>
        </w:rPr>
        <w:t>Index instrumental SNPs for five epigenetic age acceleration and the effects, standard errors on haematologic diseases in the validation analysis.</w:t>
      </w:r>
    </w:p>
    <w:p>
      <w:pPr>
        <w:rPr>
          <w:rFonts w:hint="eastAsia" w:ascii="Times New Roman" w:hAnsi="Times New Roman"/>
          <w:b w:val="0"/>
          <w:bCs w:val="0"/>
          <w:color w:val="000000" w:themeColor="text1"/>
          <w:sz w:val="20"/>
          <w:szCs w:val="20"/>
          <w:lang w:val="en-US" w:eastAsia="zh-CN"/>
          <w14:textFill>
            <w14:solidFill>
              <w14:schemeClr w14:val="tx1"/>
            </w14:solidFill>
          </w14:textFill>
        </w:rPr>
      </w:pPr>
      <w:r>
        <w:rPr>
          <w:rFonts w:ascii="Times New Roman" w:hAnsi="Times New Roman"/>
          <w:b/>
          <w:bCs/>
          <w:color w:val="000000" w:themeColor="text1"/>
          <w:sz w:val="20"/>
          <w:szCs w:val="20"/>
          <w14:textFill>
            <w14:solidFill>
              <w14:schemeClr w14:val="tx1"/>
            </w14:solidFill>
          </w14:textFill>
        </w:rPr>
        <w:t xml:space="preserve">Supplementary Table </w:t>
      </w:r>
      <w:r>
        <w:rPr>
          <w:rFonts w:hint="eastAsia" w:ascii="Times New Roman" w:hAnsi="Times New Roman"/>
          <w:b/>
          <w:bCs/>
          <w:color w:val="000000" w:themeColor="text1"/>
          <w:sz w:val="20"/>
          <w:szCs w:val="20"/>
          <w:lang w:val="en-US" w:eastAsia="zh-CN"/>
          <w14:textFill>
            <w14:solidFill>
              <w14:schemeClr w14:val="tx1"/>
            </w14:solidFill>
          </w14:textFill>
        </w:rPr>
        <w:t>5</w:t>
      </w:r>
      <w:r>
        <w:rPr>
          <w:rFonts w:ascii="Times New Roman" w:hAnsi="Times New Roman"/>
          <w:b/>
          <w:bCs/>
          <w:color w:val="000000" w:themeColor="text1"/>
          <w:sz w:val="20"/>
          <w:szCs w:val="20"/>
          <w14:textFill>
            <w14:solidFill>
              <w14:schemeClr w14:val="tx1"/>
            </w14:solidFill>
          </w14:textFill>
        </w:rPr>
        <w:t>.</w:t>
      </w:r>
      <w:r>
        <w:rPr>
          <w:rFonts w:hint="eastAsia" w:ascii="Times New Roman" w:hAnsi="Times New Roman"/>
          <w:b w:val="0"/>
          <w:bCs w:val="0"/>
          <w:color w:val="000000" w:themeColor="text1"/>
          <w:sz w:val="20"/>
          <w:szCs w:val="20"/>
          <w:lang w:val="en-US" w:eastAsia="zh-CN"/>
          <w14:textFill>
            <w14:solidFill>
              <w14:schemeClr w14:val="tx1"/>
            </w14:solidFill>
          </w14:textFill>
        </w:rPr>
        <w:t xml:space="preserve"> Index instrumental SNPs for DNA methylation Hannum age acceleration and the effects, standard errors on haematologic diseases in the discovery analysis.</w:t>
      </w:r>
    </w:p>
    <w:p>
      <w:pPr>
        <w:rPr>
          <w:rFonts w:hint="eastAsia" w:ascii="Times New Roman" w:hAnsi="Times New Roman"/>
          <w:b w:val="0"/>
          <w:bCs w:val="0"/>
          <w:color w:val="000000" w:themeColor="text1"/>
          <w:sz w:val="20"/>
          <w:szCs w:val="20"/>
          <w:lang w:val="en-US" w:eastAsia="zh-CN"/>
          <w14:textFill>
            <w14:solidFill>
              <w14:schemeClr w14:val="tx1"/>
            </w14:solidFill>
          </w14:textFill>
        </w:rPr>
      </w:pPr>
      <w:r>
        <w:rPr>
          <w:rFonts w:ascii="Times New Roman" w:hAnsi="Times New Roman"/>
          <w:b/>
          <w:bCs/>
          <w:color w:val="000000" w:themeColor="text1"/>
          <w:sz w:val="20"/>
          <w:szCs w:val="20"/>
          <w14:textFill>
            <w14:solidFill>
              <w14:schemeClr w14:val="tx1"/>
            </w14:solidFill>
          </w14:textFill>
        </w:rPr>
        <w:t xml:space="preserve">Supplementary Table </w:t>
      </w:r>
      <w:r>
        <w:rPr>
          <w:rFonts w:hint="eastAsia" w:ascii="Times New Roman" w:hAnsi="Times New Roman"/>
          <w:b/>
          <w:bCs/>
          <w:color w:val="000000" w:themeColor="text1"/>
          <w:sz w:val="20"/>
          <w:szCs w:val="20"/>
          <w:lang w:val="en-US" w:eastAsia="zh-CN"/>
          <w14:textFill>
            <w14:solidFill>
              <w14:schemeClr w14:val="tx1"/>
            </w14:solidFill>
          </w14:textFill>
        </w:rPr>
        <w:t>6</w:t>
      </w:r>
      <w:r>
        <w:rPr>
          <w:rFonts w:ascii="Times New Roman" w:hAnsi="Times New Roman"/>
          <w:b/>
          <w:bCs/>
          <w:color w:val="000000" w:themeColor="text1"/>
          <w:sz w:val="20"/>
          <w:szCs w:val="20"/>
          <w14:textFill>
            <w14:solidFill>
              <w14:schemeClr w14:val="tx1"/>
            </w14:solidFill>
          </w14:textFill>
        </w:rPr>
        <w:t>.</w:t>
      </w:r>
      <w:r>
        <w:rPr>
          <w:rFonts w:hint="eastAsia" w:ascii="Times New Roman" w:hAnsi="Times New Roman"/>
          <w:b w:val="0"/>
          <w:bCs w:val="0"/>
          <w:color w:val="000000" w:themeColor="text1"/>
          <w:sz w:val="20"/>
          <w:szCs w:val="20"/>
          <w:lang w:val="en-US" w:eastAsia="zh-CN"/>
          <w14:textFill>
            <w14:solidFill>
              <w14:schemeClr w14:val="tx1"/>
            </w14:solidFill>
          </w14:textFill>
        </w:rPr>
        <w:t xml:space="preserve"> Index instrumental SNPs for Intrinsic epigenetic age acceleration and the effects, standard errors on haematologic diseases in the discovery analysis.</w:t>
      </w:r>
    </w:p>
    <w:p>
      <w:pPr>
        <w:rPr>
          <w:rFonts w:hint="eastAsia" w:ascii="Times New Roman" w:hAnsi="Times New Roman"/>
          <w:b w:val="0"/>
          <w:bCs w:val="0"/>
          <w:color w:val="000000" w:themeColor="text1"/>
          <w:sz w:val="20"/>
          <w:szCs w:val="20"/>
          <w:lang w:val="en-US" w:eastAsia="zh-CN"/>
          <w14:textFill>
            <w14:solidFill>
              <w14:schemeClr w14:val="tx1"/>
            </w14:solidFill>
          </w14:textFill>
        </w:rPr>
      </w:pPr>
      <w:r>
        <w:rPr>
          <w:rFonts w:ascii="Times New Roman" w:hAnsi="Times New Roman"/>
          <w:b/>
          <w:bCs/>
          <w:color w:val="000000" w:themeColor="text1"/>
          <w:sz w:val="20"/>
          <w:szCs w:val="20"/>
          <w14:textFill>
            <w14:solidFill>
              <w14:schemeClr w14:val="tx1"/>
            </w14:solidFill>
          </w14:textFill>
        </w:rPr>
        <w:t xml:space="preserve">Supplementary Table </w:t>
      </w:r>
      <w:r>
        <w:rPr>
          <w:rFonts w:hint="eastAsia" w:ascii="Times New Roman" w:hAnsi="Times New Roman"/>
          <w:b/>
          <w:bCs/>
          <w:color w:val="000000" w:themeColor="text1"/>
          <w:sz w:val="20"/>
          <w:szCs w:val="20"/>
          <w:lang w:val="en-US" w:eastAsia="zh-CN"/>
          <w14:textFill>
            <w14:solidFill>
              <w14:schemeClr w14:val="tx1"/>
            </w14:solidFill>
          </w14:textFill>
        </w:rPr>
        <w:t>7</w:t>
      </w:r>
      <w:r>
        <w:rPr>
          <w:rFonts w:ascii="Times New Roman" w:hAnsi="Times New Roman"/>
          <w:b/>
          <w:bCs/>
          <w:color w:val="000000" w:themeColor="text1"/>
          <w:sz w:val="20"/>
          <w:szCs w:val="20"/>
          <w14:textFill>
            <w14:solidFill>
              <w14:schemeClr w14:val="tx1"/>
            </w14:solidFill>
          </w14:textFill>
        </w:rPr>
        <w:t>.</w:t>
      </w:r>
      <w:r>
        <w:rPr>
          <w:rFonts w:hint="eastAsia" w:ascii="Times New Roman" w:hAnsi="Times New Roman"/>
          <w:b w:val="0"/>
          <w:bCs w:val="0"/>
          <w:color w:val="000000" w:themeColor="text1"/>
          <w:sz w:val="20"/>
          <w:szCs w:val="20"/>
          <w:lang w:val="en-US" w:eastAsia="zh-CN"/>
          <w14:textFill>
            <w14:solidFill>
              <w14:schemeClr w14:val="tx1"/>
            </w14:solidFill>
          </w14:textFill>
        </w:rPr>
        <w:t xml:space="preserve"> Index instrumental SNPs for DNA methylation-estimated plasminogen activator inhibitor-1 levels and the effects, standard errors on haematologic diseases in the discovery analysis.</w:t>
      </w:r>
    </w:p>
    <w:p>
      <w:pPr>
        <w:rPr>
          <w:rFonts w:hint="eastAsia" w:ascii="Times New Roman" w:hAnsi="Times New Roman"/>
          <w:b w:val="0"/>
          <w:bCs w:val="0"/>
          <w:color w:val="000000" w:themeColor="text1"/>
          <w:sz w:val="20"/>
          <w:szCs w:val="20"/>
          <w:lang w:val="en-US" w:eastAsia="zh-CN"/>
          <w14:textFill>
            <w14:solidFill>
              <w14:schemeClr w14:val="tx1"/>
            </w14:solidFill>
          </w14:textFill>
        </w:rPr>
      </w:pPr>
      <w:r>
        <w:rPr>
          <w:rFonts w:ascii="Times New Roman" w:hAnsi="Times New Roman"/>
          <w:b/>
          <w:bCs/>
          <w:color w:val="000000" w:themeColor="text1"/>
          <w:sz w:val="20"/>
          <w:szCs w:val="20"/>
          <w14:textFill>
            <w14:solidFill>
              <w14:schemeClr w14:val="tx1"/>
            </w14:solidFill>
          </w14:textFill>
        </w:rPr>
        <w:t xml:space="preserve">Supplementary Table </w:t>
      </w:r>
      <w:r>
        <w:rPr>
          <w:rFonts w:hint="eastAsia" w:ascii="Times New Roman" w:hAnsi="Times New Roman"/>
          <w:b/>
          <w:bCs/>
          <w:color w:val="000000" w:themeColor="text1"/>
          <w:sz w:val="20"/>
          <w:szCs w:val="20"/>
          <w:lang w:val="en-US" w:eastAsia="zh-CN"/>
          <w14:textFill>
            <w14:solidFill>
              <w14:schemeClr w14:val="tx1"/>
            </w14:solidFill>
          </w14:textFill>
        </w:rPr>
        <w:t>8</w:t>
      </w:r>
      <w:r>
        <w:rPr>
          <w:rFonts w:ascii="Times New Roman" w:hAnsi="Times New Roman"/>
          <w:b/>
          <w:bCs/>
          <w:color w:val="000000" w:themeColor="text1"/>
          <w:sz w:val="20"/>
          <w:szCs w:val="20"/>
          <w14:textFill>
            <w14:solidFill>
              <w14:schemeClr w14:val="tx1"/>
            </w14:solidFill>
          </w14:textFill>
        </w:rPr>
        <w:t>.</w:t>
      </w:r>
      <w:r>
        <w:rPr>
          <w:rFonts w:hint="eastAsia" w:ascii="Times New Roman" w:hAnsi="Times New Roman"/>
          <w:b w:val="0"/>
          <w:bCs w:val="0"/>
          <w:color w:val="000000" w:themeColor="text1"/>
          <w:sz w:val="20"/>
          <w:szCs w:val="20"/>
          <w:lang w:val="en-US" w:eastAsia="zh-CN"/>
          <w14:textFill>
            <w14:solidFill>
              <w14:schemeClr w14:val="tx1"/>
            </w14:solidFill>
          </w14:textFill>
        </w:rPr>
        <w:t xml:space="preserve"> Index instrumental SNPs for DNA methylation PhenoAge acceleration and the effects, standard errors on haematologic diseases in the discovery analysis.</w:t>
      </w:r>
    </w:p>
    <w:p>
      <w:pPr>
        <w:rPr>
          <w:rFonts w:hint="default" w:ascii="Times New Roman" w:hAnsi="Times New Roman"/>
          <w:b w:val="0"/>
          <w:bCs w:val="0"/>
          <w:color w:val="000000" w:themeColor="text1"/>
          <w:sz w:val="20"/>
          <w:szCs w:val="20"/>
          <w:lang w:val="en-US" w:eastAsia="zh-CN"/>
          <w14:textFill>
            <w14:solidFill>
              <w14:schemeClr w14:val="tx1"/>
            </w14:solidFill>
          </w14:textFill>
        </w:rPr>
      </w:pPr>
      <w:r>
        <w:rPr>
          <w:rFonts w:hint="eastAsia" w:ascii="Times New Roman" w:hAnsi="Times New Roman"/>
          <w:b/>
          <w:bCs/>
          <w:color w:val="000000" w:themeColor="text1"/>
          <w:sz w:val="20"/>
          <w:szCs w:val="20"/>
          <w:lang w:val="en-US" w:eastAsia="zh-CN"/>
          <w14:textFill>
            <w14:solidFill>
              <w14:schemeClr w14:val="tx1"/>
            </w14:solidFill>
          </w14:textFill>
        </w:rPr>
        <w:t xml:space="preserve">Supplementary Table 9. </w:t>
      </w:r>
      <w:r>
        <w:rPr>
          <w:rFonts w:hint="eastAsia" w:ascii="Times New Roman" w:hAnsi="Times New Roman"/>
          <w:b w:val="0"/>
          <w:bCs w:val="0"/>
          <w:color w:val="000000" w:themeColor="text1"/>
          <w:sz w:val="20"/>
          <w:szCs w:val="20"/>
          <w:lang w:val="en-US" w:eastAsia="zh-CN"/>
          <w14:textFill>
            <w14:solidFill>
              <w14:schemeClr w14:val="tx1"/>
            </w14:solidFill>
          </w14:textFill>
        </w:rPr>
        <w:t>Two-sample single-variable estimates of genetically predicted telomere length on each haematologic disease outcome using various Mendelian randomisation methods.</w:t>
      </w:r>
    </w:p>
    <w:p>
      <w:pPr>
        <w:rPr>
          <w:rFonts w:hint="eastAsia" w:ascii="Times New Roman" w:hAnsi="Times New Roman"/>
          <w:b w:val="0"/>
          <w:bCs w:val="0"/>
          <w:color w:val="000000" w:themeColor="text1"/>
          <w:sz w:val="20"/>
          <w:szCs w:val="20"/>
          <w:lang w:val="en-US" w:eastAsia="zh-CN"/>
          <w14:textFill>
            <w14:solidFill>
              <w14:schemeClr w14:val="tx1"/>
            </w14:solidFill>
          </w14:textFill>
        </w:rPr>
      </w:pPr>
      <w:r>
        <w:rPr>
          <w:rFonts w:ascii="Times New Roman" w:hAnsi="Times New Roman"/>
          <w:b/>
          <w:bCs/>
          <w:color w:val="000000" w:themeColor="text1"/>
          <w:sz w:val="20"/>
          <w:szCs w:val="20"/>
          <w14:textFill>
            <w14:solidFill>
              <w14:schemeClr w14:val="tx1"/>
            </w14:solidFill>
          </w14:textFill>
        </w:rPr>
        <w:t xml:space="preserve">Supplementary Table </w:t>
      </w:r>
      <w:r>
        <w:rPr>
          <w:rFonts w:hint="eastAsia" w:ascii="Times New Roman" w:hAnsi="Times New Roman"/>
          <w:b/>
          <w:bCs/>
          <w:color w:val="000000" w:themeColor="text1"/>
          <w:sz w:val="20"/>
          <w:szCs w:val="20"/>
          <w:lang w:val="en-US" w:eastAsia="zh-CN"/>
          <w14:textFill>
            <w14:solidFill>
              <w14:schemeClr w14:val="tx1"/>
            </w14:solidFill>
          </w14:textFill>
        </w:rPr>
        <w:t>10</w:t>
      </w:r>
      <w:r>
        <w:rPr>
          <w:rFonts w:ascii="Times New Roman" w:hAnsi="Times New Roman"/>
          <w:b/>
          <w:bCs/>
          <w:color w:val="000000" w:themeColor="text1"/>
          <w:sz w:val="20"/>
          <w:szCs w:val="20"/>
          <w14:textFill>
            <w14:solidFill>
              <w14:schemeClr w14:val="tx1"/>
            </w14:solidFill>
          </w14:textFill>
        </w:rPr>
        <w:t>.</w:t>
      </w:r>
      <w:r>
        <w:rPr>
          <w:rFonts w:hint="eastAsia" w:ascii="Times New Roman" w:hAnsi="Times New Roman"/>
          <w:b/>
          <w:bCs/>
          <w:color w:val="000000" w:themeColor="text1"/>
          <w:sz w:val="20"/>
          <w:szCs w:val="20"/>
          <w:lang w:val="en-US" w:eastAsia="zh-CN"/>
          <w14:textFill>
            <w14:solidFill>
              <w14:schemeClr w14:val="tx1"/>
            </w14:solidFill>
          </w14:textFill>
        </w:rPr>
        <w:t xml:space="preserve"> </w:t>
      </w:r>
      <w:r>
        <w:rPr>
          <w:rFonts w:hint="eastAsia" w:ascii="Times New Roman" w:hAnsi="Times New Roman"/>
          <w:b w:val="0"/>
          <w:bCs w:val="0"/>
          <w:color w:val="000000" w:themeColor="text1"/>
          <w:sz w:val="20"/>
          <w:szCs w:val="20"/>
          <w:lang w:val="en-US" w:eastAsia="zh-CN"/>
          <w14:textFill>
            <w14:solidFill>
              <w14:schemeClr w14:val="tx1"/>
            </w14:solidFill>
          </w14:textFill>
        </w:rPr>
        <w:t>Two-sample single-variable estimates of genetically predicted five epigenetic age acceleration on each haematologic disease outcome using various Mendelian randomisation methods.</w:t>
      </w:r>
    </w:p>
    <w:p>
      <w:pPr>
        <w:rPr>
          <w:rFonts w:hint="eastAsia" w:ascii="Times New Roman" w:hAnsi="Times New Roman" w:eastAsia="等线"/>
          <w:b w:val="0"/>
          <w:bCs w:val="0"/>
          <w:color w:val="000000" w:themeColor="text1"/>
          <w:sz w:val="20"/>
          <w:szCs w:val="20"/>
          <w:lang w:val="en-US" w:eastAsia="zh-CN"/>
          <w14:textFill>
            <w14:solidFill>
              <w14:schemeClr w14:val="tx1"/>
            </w14:solidFill>
          </w14:textFill>
        </w:rPr>
      </w:pPr>
      <w:r>
        <w:rPr>
          <w:rFonts w:ascii="Times New Roman" w:hAnsi="Times New Roman"/>
          <w:b/>
          <w:bCs/>
          <w:color w:val="000000" w:themeColor="text1"/>
          <w:sz w:val="20"/>
          <w:szCs w:val="20"/>
          <w14:textFill>
            <w14:solidFill>
              <w14:schemeClr w14:val="tx1"/>
            </w14:solidFill>
          </w14:textFill>
        </w:rPr>
        <w:t xml:space="preserve">Supplementary Table </w:t>
      </w:r>
      <w:r>
        <w:rPr>
          <w:rFonts w:hint="eastAsia" w:ascii="Times New Roman" w:hAnsi="Times New Roman"/>
          <w:b/>
          <w:bCs/>
          <w:color w:val="000000" w:themeColor="text1"/>
          <w:sz w:val="20"/>
          <w:szCs w:val="20"/>
          <w:lang w:val="en-US" w:eastAsia="zh-CN"/>
          <w14:textFill>
            <w14:solidFill>
              <w14:schemeClr w14:val="tx1"/>
            </w14:solidFill>
          </w14:textFill>
        </w:rPr>
        <w:t>11</w:t>
      </w:r>
      <w:r>
        <w:rPr>
          <w:rFonts w:ascii="Times New Roman" w:hAnsi="Times New Roman"/>
          <w:b/>
          <w:bCs/>
          <w:color w:val="000000" w:themeColor="text1"/>
          <w:sz w:val="20"/>
          <w:szCs w:val="20"/>
          <w14:textFill>
            <w14:solidFill>
              <w14:schemeClr w14:val="tx1"/>
            </w14:solidFill>
          </w14:textFill>
        </w:rPr>
        <w:t>.</w:t>
      </w:r>
      <w:r>
        <w:rPr>
          <w:rFonts w:hint="eastAsia" w:ascii="Times New Roman" w:hAnsi="Times New Roman"/>
          <w:b/>
          <w:bCs/>
          <w:color w:val="000000" w:themeColor="text1"/>
          <w:sz w:val="20"/>
          <w:szCs w:val="20"/>
          <w:lang w:val="en-US" w:eastAsia="zh-CN"/>
          <w14:textFill>
            <w14:solidFill>
              <w14:schemeClr w14:val="tx1"/>
            </w14:solidFill>
          </w14:textFill>
        </w:rPr>
        <w:t xml:space="preserve"> </w:t>
      </w:r>
      <w:r>
        <w:rPr>
          <w:rFonts w:hint="eastAsia" w:ascii="Times New Roman" w:hAnsi="Times New Roman"/>
          <w:b w:val="0"/>
          <w:bCs w:val="0"/>
          <w:color w:val="000000" w:themeColor="text1"/>
          <w:sz w:val="20"/>
          <w:szCs w:val="20"/>
          <w:lang w:val="en-US" w:eastAsia="zh-CN"/>
          <w14:textFill>
            <w14:solidFill>
              <w14:schemeClr w14:val="tx1"/>
            </w14:solidFill>
          </w14:textFill>
        </w:rPr>
        <w:t>Index instrumental SNPs for exposures and outcomes in the multivariable Mendelian randomisation analysis in the discovery analysis.</w:t>
      </w:r>
    </w:p>
    <w:p>
      <w:pPr>
        <w:rPr>
          <w:rFonts w:hint="eastAsia" w:ascii="Times New Roman" w:hAnsi="Times New Roman"/>
          <w:b w:val="0"/>
          <w:bCs w:val="0"/>
          <w:color w:val="000000" w:themeColor="text1"/>
          <w:sz w:val="20"/>
          <w:szCs w:val="20"/>
          <w:lang w:val="en-US" w:eastAsia="zh-CN"/>
          <w14:textFill>
            <w14:solidFill>
              <w14:schemeClr w14:val="tx1"/>
            </w14:solidFill>
          </w14:textFill>
        </w:rPr>
      </w:pPr>
      <w:r>
        <w:rPr>
          <w:rFonts w:ascii="Times New Roman" w:hAnsi="Times New Roman"/>
          <w:b/>
          <w:bCs/>
          <w:color w:val="000000" w:themeColor="text1"/>
          <w:sz w:val="20"/>
          <w:szCs w:val="20"/>
          <w14:textFill>
            <w14:solidFill>
              <w14:schemeClr w14:val="tx1"/>
            </w14:solidFill>
          </w14:textFill>
        </w:rPr>
        <w:t xml:space="preserve">Supplementary Table </w:t>
      </w:r>
      <w:r>
        <w:rPr>
          <w:rFonts w:hint="eastAsia" w:ascii="Times New Roman" w:hAnsi="Times New Roman"/>
          <w:b/>
          <w:bCs/>
          <w:color w:val="000000" w:themeColor="text1"/>
          <w:sz w:val="20"/>
          <w:szCs w:val="20"/>
          <w:lang w:val="en-US" w:eastAsia="zh-CN"/>
          <w14:textFill>
            <w14:solidFill>
              <w14:schemeClr w14:val="tx1"/>
            </w14:solidFill>
          </w14:textFill>
        </w:rPr>
        <w:t>12</w:t>
      </w:r>
      <w:r>
        <w:rPr>
          <w:rFonts w:ascii="Times New Roman" w:hAnsi="Times New Roman"/>
          <w:b/>
          <w:bCs/>
          <w:color w:val="000000" w:themeColor="text1"/>
          <w:sz w:val="20"/>
          <w:szCs w:val="20"/>
          <w14:textFill>
            <w14:solidFill>
              <w14:schemeClr w14:val="tx1"/>
            </w14:solidFill>
          </w14:textFill>
        </w:rPr>
        <w:t>.</w:t>
      </w:r>
      <w:r>
        <w:rPr>
          <w:rFonts w:hint="eastAsia" w:ascii="Times New Roman" w:hAnsi="Times New Roman"/>
          <w:b/>
          <w:bCs/>
          <w:color w:val="000000" w:themeColor="text1"/>
          <w:sz w:val="20"/>
          <w:szCs w:val="20"/>
          <w:lang w:val="en-US" w:eastAsia="zh-CN"/>
          <w14:textFill>
            <w14:solidFill>
              <w14:schemeClr w14:val="tx1"/>
            </w14:solidFill>
          </w14:textFill>
        </w:rPr>
        <w:t xml:space="preserve"> </w:t>
      </w:r>
      <w:r>
        <w:rPr>
          <w:rFonts w:hint="eastAsia" w:ascii="Times New Roman" w:hAnsi="Times New Roman"/>
          <w:b w:val="0"/>
          <w:bCs w:val="0"/>
          <w:color w:val="000000" w:themeColor="text1"/>
          <w:sz w:val="20"/>
          <w:szCs w:val="20"/>
          <w:lang w:val="en-US" w:eastAsia="zh-CN"/>
          <w14:textFill>
            <w14:solidFill>
              <w14:schemeClr w14:val="tx1"/>
            </w14:solidFill>
          </w14:textFill>
        </w:rPr>
        <w:t>Index instrumental SNPs for exposures and outcomes in the multivariable Mendelian randomisation analysis in the validation analysis.</w:t>
      </w:r>
    </w:p>
    <w:p>
      <w:pPr>
        <w:rPr>
          <w:rFonts w:hint="eastAsia" w:ascii="Times New Roman" w:hAnsi="Times New Roman"/>
          <w:b w:val="0"/>
          <w:bCs w:val="0"/>
          <w:color w:val="000000" w:themeColor="text1"/>
          <w:sz w:val="20"/>
          <w:szCs w:val="20"/>
          <w14:textFill>
            <w14:solidFill>
              <w14:schemeClr w14:val="tx1"/>
            </w14:solidFill>
          </w14:textFill>
        </w:rPr>
      </w:pPr>
      <w:r>
        <w:rPr>
          <w:rFonts w:ascii="Times New Roman" w:hAnsi="Times New Roman"/>
          <w:b/>
          <w:bCs/>
          <w:color w:val="000000" w:themeColor="text1"/>
          <w:sz w:val="20"/>
          <w:szCs w:val="20"/>
          <w14:textFill>
            <w14:solidFill>
              <w14:schemeClr w14:val="tx1"/>
            </w14:solidFill>
          </w14:textFill>
        </w:rPr>
        <w:t xml:space="preserve">Supplementary Table </w:t>
      </w:r>
      <w:r>
        <w:rPr>
          <w:rFonts w:hint="eastAsia" w:ascii="Times New Roman" w:hAnsi="Times New Roman"/>
          <w:b/>
          <w:bCs/>
          <w:color w:val="000000" w:themeColor="text1"/>
          <w:sz w:val="20"/>
          <w:szCs w:val="20"/>
          <w:lang w:val="en-US" w:eastAsia="zh-CN"/>
          <w14:textFill>
            <w14:solidFill>
              <w14:schemeClr w14:val="tx1"/>
            </w14:solidFill>
          </w14:textFill>
        </w:rPr>
        <w:t>13</w:t>
      </w:r>
      <w:r>
        <w:rPr>
          <w:rFonts w:ascii="Times New Roman" w:hAnsi="Times New Roman"/>
          <w:b/>
          <w:bCs/>
          <w:color w:val="000000" w:themeColor="text1"/>
          <w:sz w:val="20"/>
          <w:szCs w:val="20"/>
          <w14:textFill>
            <w14:solidFill>
              <w14:schemeClr w14:val="tx1"/>
            </w14:solidFill>
          </w14:textFill>
        </w:rPr>
        <w:t>.</w:t>
      </w:r>
      <w:r>
        <w:rPr>
          <w:rFonts w:hint="eastAsia" w:ascii="Times New Roman" w:hAnsi="Times New Roman"/>
          <w:b/>
          <w:bCs/>
          <w:color w:val="000000" w:themeColor="text1"/>
          <w:sz w:val="20"/>
          <w:szCs w:val="20"/>
          <w:lang w:val="en-US" w:eastAsia="zh-CN"/>
          <w14:textFill>
            <w14:solidFill>
              <w14:schemeClr w14:val="tx1"/>
            </w14:solidFill>
          </w14:textFill>
        </w:rPr>
        <w:t xml:space="preserve"> </w:t>
      </w:r>
      <w:r>
        <w:rPr>
          <w:rFonts w:hint="eastAsia" w:ascii="Times New Roman" w:hAnsi="Times New Roman"/>
          <w:b w:val="0"/>
          <w:bCs w:val="0"/>
          <w:color w:val="000000" w:themeColor="text1"/>
          <w:sz w:val="20"/>
          <w:szCs w:val="20"/>
          <w14:textFill>
            <w14:solidFill>
              <w14:schemeClr w14:val="tx1"/>
            </w14:solidFill>
          </w14:textFill>
        </w:rPr>
        <w:t>Multivariable estimates of genetically predicted telomere length and five epigenetic age acceleration on each haematologic disease outcome using various Mendelian randomisation methods.</w:t>
      </w:r>
    </w:p>
    <w:p>
      <w:pPr>
        <w:rPr>
          <w:rFonts w:hint="eastAsia" w:ascii="Times New Roman" w:hAnsi="Times New Roman"/>
          <w:b w:val="0"/>
          <w:bCs w:val="0"/>
          <w:color w:val="000000" w:themeColor="text1"/>
          <w:sz w:val="20"/>
          <w:szCs w:val="20"/>
          <w:lang w:val="en-US" w:eastAsia="zh-CN"/>
          <w14:textFill>
            <w14:solidFill>
              <w14:schemeClr w14:val="tx1"/>
            </w14:solidFill>
          </w14:textFill>
        </w:rPr>
      </w:pPr>
      <w:r>
        <w:rPr>
          <w:rFonts w:ascii="Times New Roman" w:hAnsi="Times New Roman"/>
          <w:b/>
          <w:bCs/>
          <w:color w:val="000000" w:themeColor="text1"/>
          <w:sz w:val="20"/>
          <w:szCs w:val="20"/>
          <w14:textFill>
            <w14:solidFill>
              <w14:schemeClr w14:val="tx1"/>
            </w14:solidFill>
          </w14:textFill>
        </w:rPr>
        <w:t xml:space="preserve">Supplementary Table </w:t>
      </w:r>
      <w:r>
        <w:rPr>
          <w:rFonts w:hint="eastAsia" w:ascii="Times New Roman" w:hAnsi="Times New Roman"/>
          <w:b/>
          <w:bCs/>
          <w:color w:val="000000" w:themeColor="text1"/>
          <w:sz w:val="20"/>
          <w:szCs w:val="20"/>
          <w:lang w:val="en-US" w:eastAsia="zh-CN"/>
          <w14:textFill>
            <w14:solidFill>
              <w14:schemeClr w14:val="tx1"/>
            </w14:solidFill>
          </w14:textFill>
        </w:rPr>
        <w:t>14</w:t>
      </w:r>
      <w:r>
        <w:rPr>
          <w:rFonts w:ascii="Times New Roman" w:hAnsi="Times New Roman"/>
          <w:b/>
          <w:bCs/>
          <w:color w:val="000000" w:themeColor="text1"/>
          <w:sz w:val="20"/>
          <w:szCs w:val="20"/>
          <w14:textFill>
            <w14:solidFill>
              <w14:schemeClr w14:val="tx1"/>
            </w14:solidFill>
          </w14:textFill>
        </w:rPr>
        <w:t>.</w:t>
      </w:r>
      <w:r>
        <w:rPr>
          <w:rFonts w:hint="eastAsia" w:ascii="Times New Roman" w:hAnsi="Times New Roman"/>
          <w:b/>
          <w:bCs/>
          <w:color w:val="000000" w:themeColor="text1"/>
          <w:sz w:val="20"/>
          <w:szCs w:val="20"/>
          <w:lang w:val="en-US" w:eastAsia="zh-CN"/>
          <w14:textFill>
            <w14:solidFill>
              <w14:schemeClr w14:val="tx1"/>
            </w14:solidFill>
          </w14:textFill>
        </w:rPr>
        <w:t xml:space="preserve"> </w:t>
      </w:r>
      <w:r>
        <w:rPr>
          <w:rFonts w:hint="eastAsia" w:ascii="Times New Roman" w:hAnsi="Times New Roman"/>
          <w:b w:val="0"/>
          <w:bCs w:val="0"/>
          <w:color w:val="000000" w:themeColor="text1"/>
          <w:sz w:val="20"/>
          <w:szCs w:val="20"/>
          <w:lang w:val="en-US" w:eastAsia="zh-CN"/>
          <w14:textFill>
            <w14:solidFill>
              <w14:schemeClr w14:val="tx1"/>
            </w14:solidFill>
          </w14:textFill>
        </w:rPr>
        <w:t>The ranking of models for haematologic diseases using all instrumental variables in the multivariable Mendelian randomisation analysis.</w:t>
      </w:r>
    </w:p>
    <w:p>
      <w:pPr>
        <w:rPr>
          <w:rFonts w:hint="eastAsia" w:ascii="Times New Roman" w:hAnsi="Times New Roman"/>
          <w:color w:val="000000" w:themeColor="text1"/>
          <w:sz w:val="20"/>
          <w:szCs w:val="20"/>
          <w:lang w:val="en-US" w:eastAsia="zh-CN"/>
          <w14:textFill>
            <w14:solidFill>
              <w14:schemeClr w14:val="tx1"/>
            </w14:solidFill>
          </w14:textFill>
        </w:rPr>
      </w:pPr>
      <w:r>
        <w:rPr>
          <w:rFonts w:hint="eastAsia" w:ascii="Times New Roman" w:hAnsi="Times New Roman"/>
          <w:b/>
          <w:bCs/>
          <w:color w:val="000000" w:themeColor="text1"/>
          <w:sz w:val="20"/>
          <w:szCs w:val="20"/>
          <w:lang w:val="en-US" w:eastAsia="zh-CN"/>
          <w14:textFill>
            <w14:solidFill>
              <w14:schemeClr w14:val="tx1"/>
            </w14:solidFill>
          </w14:textFill>
        </w:rPr>
        <w:t xml:space="preserve">Supplementary Figure 1. </w:t>
      </w:r>
      <w:r>
        <w:rPr>
          <w:rFonts w:hint="eastAsia" w:ascii="Times New Roman" w:hAnsi="Times New Roman"/>
          <w:color w:val="000000" w:themeColor="text1"/>
          <w:sz w:val="20"/>
          <w:szCs w:val="20"/>
          <w:lang w:val="en-US" w:eastAsia="zh-CN"/>
          <w14:textFill>
            <w14:solidFill>
              <w14:schemeClr w14:val="tx1"/>
            </w14:solidFill>
          </w14:textFill>
        </w:rPr>
        <w:t>A fishbone diagram to demonstrate which specific haematologic diseases constitute each of the 59 GWAS summary statistics in this study.</w:t>
      </w:r>
    </w:p>
    <w:p>
      <w:pPr>
        <w:rPr>
          <w:rFonts w:hint="default" w:ascii="Times New Roman" w:hAnsi="Times New Roman"/>
          <w:b w:val="0"/>
          <w:bCs w:val="0"/>
          <w:color w:val="0000FF"/>
          <w:sz w:val="20"/>
          <w:szCs w:val="20"/>
          <w:lang w:val="en-US" w:eastAsia="zh-CN"/>
        </w:rPr>
      </w:pPr>
      <w:r>
        <w:rPr>
          <w:rFonts w:hint="eastAsia" w:ascii="Times New Roman" w:hAnsi="Times New Roman"/>
          <w:b/>
          <w:bCs/>
          <w:color w:val="000000" w:themeColor="text1"/>
          <w:sz w:val="20"/>
          <w:szCs w:val="20"/>
          <w:lang w:val="en-US" w:eastAsia="zh-CN"/>
          <w14:textFill>
            <w14:solidFill>
              <w14:schemeClr w14:val="tx1"/>
            </w14:solidFill>
          </w14:textFill>
        </w:rPr>
        <w:t xml:space="preserve">Supplementary Figure 2. </w:t>
      </w:r>
      <w:r>
        <w:rPr>
          <w:rFonts w:hint="eastAsia" w:ascii="Times New Roman" w:hAnsi="Times New Roman"/>
          <w:b w:val="0"/>
          <w:bCs w:val="0"/>
          <w:color w:val="000000" w:themeColor="text1"/>
          <w:sz w:val="20"/>
          <w:szCs w:val="20"/>
          <w:lang w:val="en-US" w:eastAsia="zh-CN"/>
          <w14:textFill>
            <w14:solidFill>
              <w14:schemeClr w14:val="tx1"/>
            </w14:solidFill>
          </w14:textFill>
        </w:rPr>
        <w:t>Two-sample single-variable Mendelian randomisation results of telomere length and five epigenetic age acceleration on risk of multiple haematologic diseases in the discovery cohort. (a) The association between genetically increased telomere length and odds of haematologic diseases. (b) The association between genetically predicted DNA methylation GrimAge acceleration and odds of haematologic diseases. (c) The association between genetically predicted DNA methylation Hannum age acceleration and odds of haematologic diseases. (d) The association between genetically predicted Intrinsic epigenetic age acceleration and odds of haematologic diseases. (e) The association between genetically predicted DNAm PAI-1 levels and odds of haematologic diseases. (f) The association between genetically predicted DNA methylation PhenoAge acceleration and odds of haematologic diseases.</w:t>
      </w:r>
    </w:p>
    <w:p>
      <w:pPr>
        <w:rPr>
          <w:rFonts w:hint="eastAsia" w:ascii="Times New Roman" w:hAnsi="Times New Roman"/>
          <w:b w:val="0"/>
          <w:bCs w:val="0"/>
          <w:color w:val="000000" w:themeColor="text1"/>
          <w:sz w:val="20"/>
          <w:szCs w:val="20"/>
          <w:lang w:val="en-US" w:eastAsia="zh-CN"/>
          <w14:textFill>
            <w14:solidFill>
              <w14:schemeClr w14:val="tx1"/>
            </w14:solidFill>
          </w14:textFill>
        </w:rPr>
      </w:pPr>
      <w:r>
        <w:rPr>
          <w:rFonts w:hint="eastAsia" w:ascii="Times New Roman" w:hAnsi="Times New Roman"/>
          <w:b/>
          <w:bCs/>
          <w:color w:val="000000" w:themeColor="text1"/>
          <w:sz w:val="20"/>
          <w:szCs w:val="20"/>
          <w:lang w:val="en-US" w:eastAsia="zh-CN"/>
          <w14:textFill>
            <w14:solidFill>
              <w14:schemeClr w14:val="tx1"/>
            </w14:solidFill>
          </w14:textFill>
        </w:rPr>
        <w:t xml:space="preserve">Supplementary Figure 3. </w:t>
      </w:r>
      <w:r>
        <w:rPr>
          <w:rFonts w:hint="eastAsia" w:ascii="Times New Roman" w:hAnsi="Times New Roman"/>
          <w:b w:val="0"/>
          <w:bCs w:val="0"/>
          <w:color w:val="000000" w:themeColor="text1"/>
          <w:sz w:val="20"/>
          <w:szCs w:val="20"/>
          <w:lang w:val="en-US" w:eastAsia="zh-CN"/>
          <w14:textFill>
            <w14:solidFill>
              <w14:schemeClr w14:val="tx1"/>
            </w14:solidFill>
          </w14:textFill>
        </w:rPr>
        <w:t>Scatterplot of associations of genetic risk of telomere length on risk of 10 haematological malignancies.</w:t>
      </w:r>
    </w:p>
    <w:p>
      <w:pPr>
        <w:rPr>
          <w:rFonts w:hint="eastAsia" w:ascii="Times New Roman" w:hAnsi="Times New Roman"/>
          <w:b w:val="0"/>
          <w:bCs w:val="0"/>
          <w:color w:val="000000" w:themeColor="text1"/>
          <w:sz w:val="20"/>
          <w:szCs w:val="20"/>
          <w:lang w:val="en-US" w:eastAsia="zh-CN"/>
          <w14:textFill>
            <w14:solidFill>
              <w14:schemeClr w14:val="tx1"/>
            </w14:solidFill>
          </w14:textFill>
        </w:rPr>
      </w:pPr>
      <w:r>
        <w:rPr>
          <w:rFonts w:hint="eastAsia" w:ascii="Times New Roman" w:hAnsi="Times New Roman"/>
          <w:b/>
          <w:bCs/>
          <w:color w:val="000000" w:themeColor="text1"/>
          <w:sz w:val="20"/>
          <w:szCs w:val="20"/>
          <w:lang w:val="en-US" w:eastAsia="zh-CN"/>
          <w14:textFill>
            <w14:solidFill>
              <w14:schemeClr w14:val="tx1"/>
            </w14:solidFill>
          </w14:textFill>
        </w:rPr>
        <w:t xml:space="preserve">Supplementary Figure 4. </w:t>
      </w:r>
      <w:r>
        <w:rPr>
          <w:rFonts w:hint="eastAsia" w:ascii="Times New Roman" w:hAnsi="Times New Roman"/>
          <w:b w:val="0"/>
          <w:bCs w:val="0"/>
          <w:color w:val="000000" w:themeColor="text1"/>
          <w:sz w:val="20"/>
          <w:szCs w:val="20"/>
          <w:lang w:val="en-US" w:eastAsia="zh-CN"/>
          <w14:textFill>
            <w14:solidFill>
              <w14:schemeClr w14:val="tx1"/>
            </w14:solidFill>
          </w14:textFill>
        </w:rPr>
        <w:t>Two-sample single-variable Mendelian randomisation results of telomere length and five epigenetic age acceleration on risk of multiple haematologic diseases in the validation cohort.</w:t>
      </w:r>
    </w:p>
    <w:p>
      <w:pPr>
        <w:rPr>
          <w:rFonts w:hint="eastAsia" w:ascii="Times New Roman" w:hAnsi="Times New Roman"/>
          <w:b w:val="0"/>
          <w:bCs w:val="0"/>
          <w:color w:val="000000" w:themeColor="text1"/>
          <w:sz w:val="20"/>
          <w:szCs w:val="20"/>
          <w:lang w:val="en-US" w:eastAsia="zh-CN"/>
          <w14:textFill>
            <w14:solidFill>
              <w14:schemeClr w14:val="tx1"/>
            </w14:solidFill>
          </w14:textFill>
        </w:rPr>
      </w:pPr>
      <w:r>
        <w:rPr>
          <w:rFonts w:hint="eastAsia" w:ascii="Times New Roman" w:hAnsi="Times New Roman"/>
          <w:b/>
          <w:bCs/>
          <w:color w:val="000000" w:themeColor="text1"/>
          <w:sz w:val="20"/>
          <w:szCs w:val="20"/>
          <w:lang w:val="en-US" w:eastAsia="zh-CN"/>
          <w14:textFill>
            <w14:solidFill>
              <w14:schemeClr w14:val="tx1"/>
            </w14:solidFill>
          </w14:textFill>
        </w:rPr>
        <w:t xml:space="preserve">Supplementary Figure 5. </w:t>
      </w:r>
      <w:r>
        <w:rPr>
          <w:rFonts w:hint="eastAsia" w:ascii="Times New Roman" w:hAnsi="Times New Roman"/>
          <w:b w:val="0"/>
          <w:bCs w:val="0"/>
          <w:color w:val="000000" w:themeColor="text1"/>
          <w:sz w:val="20"/>
          <w:szCs w:val="20"/>
          <w:lang w:val="en-US" w:eastAsia="zh-CN"/>
          <w14:textFill>
            <w14:solidFill>
              <w14:schemeClr w14:val="tx1"/>
            </w14:solidFill>
          </w14:textFill>
        </w:rPr>
        <w:t>Multivariable Mendelian randomisation results of telomere length and five epigenetic age acceleration on risk of multiple haematologic diseases in the validation cohort.</w:t>
      </w:r>
    </w:p>
    <w:p>
      <w:pPr>
        <w:rPr>
          <w:rFonts w:hint="eastAsia" w:ascii="Times New Roman" w:hAnsi="Times New Roman"/>
          <w:color w:val="231F20"/>
          <w:sz w:val="20"/>
          <w:szCs w:val="20"/>
          <w:lang w:val="en-US" w:eastAsia="zh-CN"/>
        </w:rPr>
      </w:pPr>
      <w:r>
        <w:rPr>
          <w:rFonts w:hint="eastAsia" w:ascii="Times New Roman" w:hAnsi="Times New Roman"/>
          <w:b/>
          <w:bCs/>
          <w:color w:val="231F20"/>
          <w:sz w:val="20"/>
          <w:szCs w:val="20"/>
          <w:lang w:val="en-US" w:eastAsia="zh-CN"/>
        </w:rPr>
        <w:t xml:space="preserve">Supplementary Figure 6. </w:t>
      </w:r>
      <w:r>
        <w:rPr>
          <w:rFonts w:hint="eastAsia" w:ascii="Times New Roman" w:hAnsi="Times New Roman"/>
          <w:color w:val="231F20"/>
          <w:sz w:val="20"/>
          <w:szCs w:val="20"/>
          <w:lang w:val="en-US" w:eastAsia="zh-CN"/>
        </w:rPr>
        <w:t>Model diagnostics in multivariable MR based on BMA.The predicted associations with haematologic diseases based on the model including telomere length (x-axis) are plotted against the observed associations with haematologic diseases (y-axis). These are the top models when keeping outliers and influential genetic variants in the analysis. (a) Cook's distance for the influential points; (b) the q-statistic for outliers. Any genetic variant with q value larger than threshold or Cook's distance larger than the median of the relevant F-distribution is marked by a label indicating the gene region.</w:t>
      </w:r>
    </w:p>
    <w:p>
      <w:pPr>
        <w:rPr>
          <w:rFonts w:hint="default" w:ascii="Calibri" w:hAnsi="Calibri" w:eastAsia="宋体"/>
          <w:szCs w:val="24"/>
          <w:lang w:val="en-US"/>
        </w:rPr>
      </w:pPr>
    </w:p>
    <w:p>
      <w:pPr>
        <w:rPr>
          <w:rFonts w:hint="default" w:ascii="Times New Roman" w:hAnsi="Times New Roman"/>
          <w:b w:val="0"/>
          <w:bCs w:val="0"/>
          <w:color w:val="0000FF"/>
          <w:sz w:val="20"/>
          <w:szCs w:val="20"/>
          <w:lang w:val="en-US" w:eastAsia="zh-CN"/>
        </w:rPr>
      </w:pPr>
    </w:p>
    <w:p>
      <w:pPr>
        <w:rPr>
          <w:rFonts w:hint="eastAsia" w:ascii="Times New Roman" w:hAnsi="Times New Roman"/>
          <w:b w:val="0"/>
          <w:bCs w:val="0"/>
          <w:color w:val="0000FF"/>
          <w:sz w:val="20"/>
          <w:szCs w:val="20"/>
          <w:lang w:val="en-US" w:eastAsia="zh-CN"/>
        </w:rPr>
      </w:pPr>
    </w:p>
    <w:p>
      <w:pPr>
        <w:rPr>
          <w:rFonts w:hint="eastAsia" w:ascii="Times New Roman" w:hAnsi="Times New Roman"/>
          <w:b w:val="0"/>
          <w:bCs w:val="0"/>
          <w:color w:val="0000FF"/>
          <w:sz w:val="20"/>
          <w:szCs w:val="20"/>
          <w:lang w:val="en-US" w:eastAsia="zh-CN"/>
        </w:rPr>
      </w:pPr>
    </w:p>
    <w:p>
      <w:pPr>
        <w:rPr>
          <w:rFonts w:hint="eastAsia" w:ascii="Times New Roman" w:hAnsi="Times New Roman"/>
          <w:b w:val="0"/>
          <w:bCs w:val="0"/>
          <w:color w:val="0000FF"/>
          <w:sz w:val="20"/>
          <w:szCs w:val="20"/>
          <w:lang w:val="en-US" w:eastAsia="zh-CN"/>
        </w:rPr>
      </w:pPr>
    </w:p>
    <w:p>
      <w:pPr>
        <w:rPr>
          <w:rFonts w:hint="eastAsia" w:ascii="Times New Roman" w:hAnsi="Times New Roman"/>
          <w:b w:val="0"/>
          <w:bCs w:val="0"/>
          <w:color w:val="0000FF"/>
          <w:sz w:val="20"/>
          <w:szCs w:val="20"/>
          <w:lang w:val="en-US" w:eastAsia="zh-CN"/>
        </w:rPr>
      </w:pPr>
    </w:p>
    <w:p>
      <w:pPr>
        <w:rPr>
          <w:rFonts w:hint="eastAsia" w:ascii="Times New Roman" w:hAnsi="Times New Roman"/>
          <w:b w:val="0"/>
          <w:bCs w:val="0"/>
          <w:color w:val="0000FF"/>
          <w:sz w:val="20"/>
          <w:szCs w:val="20"/>
          <w:lang w:val="en-US" w:eastAsia="zh-CN"/>
        </w:rPr>
      </w:pPr>
    </w:p>
    <w:p>
      <w:pPr>
        <w:rPr>
          <w:rFonts w:hint="eastAsia" w:ascii="Times New Roman" w:hAnsi="Times New Roman"/>
          <w:b w:val="0"/>
          <w:bCs w:val="0"/>
          <w:color w:val="0000FF"/>
          <w:sz w:val="20"/>
          <w:szCs w:val="20"/>
          <w:lang w:val="en-US" w:eastAsia="zh-CN"/>
        </w:rPr>
      </w:pPr>
    </w:p>
    <w:p>
      <w:pPr>
        <w:rPr>
          <w:rFonts w:hint="eastAsia" w:ascii="Times New Roman" w:hAnsi="Times New Roman"/>
          <w:b w:val="0"/>
          <w:bCs w:val="0"/>
          <w:color w:val="0000FF"/>
          <w:sz w:val="20"/>
          <w:szCs w:val="20"/>
          <w:lang w:val="en-US" w:eastAsia="zh-CN"/>
        </w:rPr>
      </w:pPr>
    </w:p>
    <w:p>
      <w:pPr>
        <w:rPr>
          <w:rFonts w:hint="eastAsia" w:ascii="Times New Roman" w:hAnsi="Times New Roman"/>
          <w:b w:val="0"/>
          <w:bCs w:val="0"/>
          <w:color w:val="0000FF"/>
          <w:sz w:val="20"/>
          <w:szCs w:val="20"/>
          <w:lang w:val="en-US" w:eastAsia="zh-CN"/>
        </w:rPr>
      </w:pPr>
    </w:p>
    <w:p>
      <w:pPr>
        <w:rPr>
          <w:rFonts w:hint="eastAsia" w:ascii="Times New Roman" w:hAnsi="Times New Roman"/>
          <w:b w:val="0"/>
          <w:bCs w:val="0"/>
          <w:color w:val="0000FF"/>
          <w:sz w:val="20"/>
          <w:szCs w:val="20"/>
          <w:lang w:val="en-US" w:eastAsia="zh-CN"/>
        </w:rPr>
      </w:pPr>
    </w:p>
    <w:p>
      <w:pPr>
        <w:rPr>
          <w:rFonts w:hint="eastAsia" w:ascii="Times New Roman" w:hAnsi="Times New Roman"/>
          <w:b w:val="0"/>
          <w:bCs w:val="0"/>
          <w:color w:val="0000FF"/>
          <w:sz w:val="20"/>
          <w:szCs w:val="20"/>
          <w:lang w:val="en-US" w:eastAsia="zh-CN"/>
        </w:rPr>
      </w:pPr>
    </w:p>
    <w:p>
      <w:pPr>
        <w:rPr>
          <w:rFonts w:hint="eastAsia" w:ascii="Times New Roman" w:hAnsi="Times New Roman"/>
          <w:b w:val="0"/>
          <w:bCs w:val="0"/>
          <w:color w:val="0000FF"/>
          <w:sz w:val="20"/>
          <w:szCs w:val="20"/>
          <w:lang w:val="en-US" w:eastAsia="zh-CN"/>
        </w:rPr>
      </w:pPr>
    </w:p>
    <w:p>
      <w:pPr>
        <w:rPr>
          <w:rFonts w:hint="eastAsia" w:ascii="Times New Roman" w:hAnsi="Times New Roman"/>
          <w:b w:val="0"/>
          <w:bCs w:val="0"/>
          <w:color w:val="0000FF"/>
          <w:sz w:val="20"/>
          <w:szCs w:val="20"/>
          <w:lang w:val="en-US" w:eastAsia="zh-CN"/>
        </w:rPr>
      </w:pPr>
    </w:p>
    <w:p>
      <w:pPr>
        <w:rPr>
          <w:rFonts w:hint="eastAsia" w:ascii="Times New Roman" w:hAnsi="Times New Roman"/>
          <w:b/>
          <w:bCs/>
          <w:sz w:val="20"/>
          <w:szCs w:val="20"/>
        </w:rPr>
      </w:pPr>
      <w:r>
        <w:rPr>
          <w:rFonts w:ascii="Times New Roman" w:hAnsi="Times New Roman"/>
          <w:b/>
          <w:bCs/>
          <w:sz w:val="20"/>
          <w:szCs w:val="20"/>
        </w:rPr>
        <w:t xml:space="preserve">Supplementary Table </w:t>
      </w:r>
      <w:r>
        <w:rPr>
          <w:rFonts w:hint="eastAsia" w:ascii="Times New Roman" w:hAnsi="Times New Roman"/>
          <w:b/>
          <w:bCs/>
          <w:sz w:val="20"/>
          <w:szCs w:val="20"/>
          <w:lang w:val="en-US" w:eastAsia="zh-CN"/>
        </w:rPr>
        <w:t xml:space="preserve">1-13 </w:t>
      </w:r>
      <w:r>
        <w:rPr>
          <w:rFonts w:hint="eastAsia" w:ascii="Times New Roman" w:hAnsi="Times New Roman"/>
          <w:b/>
          <w:bCs/>
          <w:sz w:val="20"/>
          <w:szCs w:val="20"/>
        </w:rPr>
        <w:t>displayed in</w:t>
      </w:r>
      <w:r>
        <w:rPr>
          <w:rFonts w:hint="eastAsia" w:ascii="Times New Roman" w:hAnsi="Times New Roman"/>
          <w:b/>
          <w:bCs/>
          <w:sz w:val="20"/>
          <w:szCs w:val="20"/>
          <w:lang w:val="en-US" w:eastAsia="zh-CN"/>
        </w:rPr>
        <w:t xml:space="preserve"> </w:t>
      </w:r>
      <w:r>
        <w:rPr>
          <w:rFonts w:ascii="Times New Roman" w:hAnsi="Times New Roman"/>
          <w:b/>
          <w:bCs/>
          <w:sz w:val="20"/>
          <w:szCs w:val="20"/>
        </w:rPr>
        <w:t xml:space="preserve">Supplementary Table </w:t>
      </w:r>
      <w:r>
        <w:rPr>
          <w:rFonts w:hint="eastAsia" w:ascii="Times New Roman" w:hAnsi="Times New Roman"/>
          <w:b/>
          <w:bCs/>
          <w:sz w:val="20"/>
          <w:szCs w:val="20"/>
          <w:lang w:val="en-US" w:eastAsia="zh-CN"/>
        </w:rPr>
        <w:t>1-13</w:t>
      </w:r>
      <w:r>
        <w:rPr>
          <w:rFonts w:hint="eastAsia" w:ascii="Times New Roman" w:hAnsi="Times New Roman"/>
          <w:b/>
          <w:bCs/>
          <w:sz w:val="20"/>
          <w:szCs w:val="20"/>
        </w:rPr>
        <w:t>.xlsx</w:t>
      </w: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spacing w:beforeLines="0" w:afterLines="0"/>
        <w:rPr>
          <w:rFonts w:hint="eastAsia" w:ascii="Times New Roman" w:hAnsi="Times New Roman"/>
          <w:color w:val="000000"/>
          <w:sz w:val="20"/>
          <w:szCs w:val="20"/>
        </w:rPr>
      </w:pPr>
      <w:r>
        <w:rPr>
          <w:rFonts w:hint="eastAsia" w:ascii="Times New Roman" w:hAnsi="Times New Roman"/>
          <w:b/>
          <w:color w:val="000000"/>
          <w:sz w:val="20"/>
          <w:szCs w:val="20"/>
        </w:rPr>
        <w:t xml:space="preserve">Supplementary Table </w:t>
      </w:r>
      <w:r>
        <w:rPr>
          <w:rFonts w:hint="eastAsia" w:ascii="Times New Roman" w:hAnsi="Times New Roman"/>
          <w:b/>
          <w:color w:val="000000"/>
          <w:sz w:val="20"/>
          <w:szCs w:val="20"/>
          <w:lang w:val="en-US" w:eastAsia="zh-CN"/>
        </w:rPr>
        <w:t>14</w:t>
      </w:r>
      <w:r>
        <w:rPr>
          <w:rFonts w:hint="eastAsia" w:ascii="Times New Roman" w:hAnsi="Times New Roman"/>
          <w:b/>
          <w:color w:val="000000"/>
          <w:sz w:val="20"/>
          <w:szCs w:val="20"/>
        </w:rPr>
        <w:t>.</w:t>
      </w:r>
      <w:r>
        <w:rPr>
          <w:rFonts w:hint="eastAsia" w:ascii="Times New Roman" w:hAnsi="Times New Roman"/>
          <w:color w:val="000000"/>
          <w:sz w:val="20"/>
          <w:szCs w:val="20"/>
        </w:rPr>
        <w:t xml:space="preserve"> The ranking of models for haematologic diseases using all instrumental variables in the multivariable Mendelian randomisation analysis.</w:t>
      </w:r>
    </w:p>
    <w:tbl>
      <w:tblPr>
        <w:tblStyle w:val="11"/>
        <w:tblW w:w="5000" w:type="pct"/>
        <w:tblInd w:w="0" w:type="dxa"/>
        <w:tblLayout w:type="fixed"/>
        <w:tblCellMar>
          <w:top w:w="0" w:type="dxa"/>
          <w:left w:w="0" w:type="dxa"/>
          <w:bottom w:w="0" w:type="dxa"/>
          <w:right w:w="0" w:type="dxa"/>
        </w:tblCellMar>
      </w:tblPr>
      <w:tblGrid>
        <w:gridCol w:w="329"/>
        <w:gridCol w:w="4831"/>
        <w:gridCol w:w="688"/>
        <w:gridCol w:w="1506"/>
        <w:gridCol w:w="2450"/>
        <w:gridCol w:w="925"/>
        <w:gridCol w:w="856"/>
        <w:gridCol w:w="1219"/>
        <w:gridCol w:w="1184"/>
      </w:tblGrid>
      <w:tr>
        <w:tblPrEx>
          <w:tblCellMar>
            <w:top w:w="0" w:type="dxa"/>
            <w:left w:w="0" w:type="dxa"/>
            <w:bottom w:w="0" w:type="dxa"/>
            <w:right w:w="0" w:type="dxa"/>
          </w:tblCellMar>
        </w:tblPrEx>
        <w:trPr>
          <w:trHeight w:val="336" w:hRule="atLeast"/>
        </w:trPr>
        <w:tc>
          <w:tcPr>
            <w:tcW w:w="117" w:type="pct"/>
            <w:tcBorders>
              <w:top w:val="single" w:color="auto" w:sz="4" w:space="0"/>
              <w:left w:val="nil"/>
              <w:bottom w:val="single" w:color="auto" w:sz="4" w:space="0"/>
              <w:right w:val="nil"/>
            </w:tcBorders>
            <w:shd w:val="clear" w:color="auto" w:fill="BEBEBE" w:themeFill="background1" w:themeFillShade="BF"/>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Times New Roman"/>
                <w:sz w:val="16"/>
                <w:szCs w:val="16"/>
              </w:rPr>
            </w:pPr>
          </w:p>
        </w:tc>
        <w:tc>
          <w:tcPr>
            <w:tcW w:w="1726" w:type="pct"/>
            <w:tcBorders>
              <w:top w:val="single" w:color="auto" w:sz="4" w:space="0"/>
              <w:left w:val="nil"/>
              <w:bottom w:val="single" w:color="auto" w:sz="4" w:space="0"/>
              <w:right w:val="nil"/>
            </w:tcBorders>
            <w:shd w:val="clear" w:color="auto" w:fill="BEBEBE" w:themeFill="background1" w:themeFillShade="B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olor w:val="000000"/>
                <w:sz w:val="16"/>
                <w:szCs w:val="16"/>
              </w:rPr>
            </w:pPr>
            <w:r>
              <w:rPr>
                <w:rFonts w:hint="default" w:ascii="Times New Roman" w:hAnsi="Times New Roman"/>
                <w:color w:val="000000"/>
                <w:sz w:val="16"/>
                <w:szCs w:val="16"/>
              </w:rPr>
              <w:t>Model</w:t>
            </w:r>
          </w:p>
        </w:tc>
        <w:tc>
          <w:tcPr>
            <w:tcW w:w="245" w:type="pct"/>
            <w:tcBorders>
              <w:top w:val="single" w:color="auto" w:sz="4" w:space="0"/>
              <w:left w:val="nil"/>
              <w:bottom w:val="single" w:color="auto" w:sz="4" w:space="0"/>
              <w:right w:val="nil"/>
            </w:tcBorders>
            <w:shd w:val="clear" w:color="auto" w:fill="BEBEBE" w:themeFill="background1" w:themeFillShade="B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default" w:ascii="Times New Roman" w:hAnsi="Times New Roman"/>
                <w:color w:val="000000"/>
                <w:sz w:val="16"/>
                <w:szCs w:val="16"/>
              </w:rPr>
              <w:t>PP</w:t>
            </w:r>
          </w:p>
        </w:tc>
        <w:tc>
          <w:tcPr>
            <w:tcW w:w="538" w:type="pct"/>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default" w:ascii="Times New Roman" w:hAnsi="Times New Roman"/>
                <w:color w:val="000000"/>
                <w:sz w:val="16"/>
                <w:szCs w:val="16"/>
              </w:rPr>
              <w:t>casual effect</w:t>
            </w:r>
          </w:p>
        </w:tc>
        <w:tc>
          <w:tcPr>
            <w:tcW w:w="875" w:type="pct"/>
            <w:tcBorders>
              <w:top w:val="single" w:color="auto" w:sz="4" w:space="0"/>
              <w:left w:val="single" w:color="auto" w:sz="4" w:space="0"/>
              <w:bottom w:val="single" w:color="auto" w:sz="4" w:space="0"/>
              <w:right w:val="nil"/>
            </w:tcBorders>
            <w:shd w:val="clear" w:color="auto" w:fill="BEBEBE" w:themeFill="background1" w:themeFillShade="B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default" w:ascii="Times New Roman" w:hAnsi="Times New Roman"/>
                <w:color w:val="000000"/>
                <w:sz w:val="16"/>
                <w:szCs w:val="16"/>
              </w:rPr>
              <w:t>Risk factor</w:t>
            </w:r>
          </w:p>
        </w:tc>
        <w:tc>
          <w:tcPr>
            <w:tcW w:w="330" w:type="pct"/>
            <w:tcBorders>
              <w:top w:val="single" w:color="auto" w:sz="4" w:space="0"/>
              <w:left w:val="nil"/>
              <w:bottom w:val="single" w:color="auto" w:sz="4" w:space="0"/>
              <w:right w:val="nil"/>
            </w:tcBorders>
            <w:shd w:val="clear" w:color="auto" w:fill="BEBEBE" w:themeFill="background1" w:themeFillShade="B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default" w:ascii="Times New Roman" w:hAnsi="Times New Roman"/>
                <w:color w:val="000000"/>
                <w:sz w:val="16"/>
                <w:szCs w:val="16"/>
              </w:rPr>
              <w:t>MIP</w:t>
            </w:r>
          </w:p>
        </w:tc>
        <w:tc>
          <w:tcPr>
            <w:tcW w:w="305" w:type="pct"/>
            <w:tcBorders>
              <w:top w:val="single" w:color="auto" w:sz="4" w:space="0"/>
              <w:left w:val="nil"/>
              <w:bottom w:val="single" w:color="auto" w:sz="4" w:space="0"/>
              <w:right w:val="nil"/>
            </w:tcBorders>
            <w:shd w:val="clear" w:color="auto" w:fill="BEBEBE" w:themeFill="background1" w:themeFillShade="B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default" w:ascii="Times New Roman" w:hAnsi="Times New Roman"/>
                <w:color w:val="000000"/>
                <w:sz w:val="16"/>
                <w:szCs w:val="16"/>
              </w:rPr>
              <w:t>Model-averaged causal effect</w:t>
            </w:r>
          </w:p>
        </w:tc>
        <w:tc>
          <w:tcPr>
            <w:tcW w:w="435" w:type="pct"/>
            <w:tcBorders>
              <w:top w:val="single" w:color="auto" w:sz="4" w:space="0"/>
              <w:left w:val="nil"/>
              <w:bottom w:val="single" w:color="auto" w:sz="4" w:space="0"/>
              <w:right w:val="nil"/>
            </w:tcBorders>
            <w:shd w:val="clear" w:color="auto" w:fill="BEBEBE" w:themeFill="background1" w:themeFillShade="B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default" w:ascii="Times New Roman" w:hAnsi="Times New Roman"/>
                <w:color w:val="000000"/>
                <w:sz w:val="16"/>
                <w:szCs w:val="16"/>
              </w:rPr>
              <w:t>Empirical p-value</w:t>
            </w:r>
          </w:p>
        </w:tc>
        <w:tc>
          <w:tcPr>
            <w:tcW w:w="423" w:type="pct"/>
            <w:tcBorders>
              <w:top w:val="single" w:color="auto" w:sz="4" w:space="0"/>
              <w:left w:val="nil"/>
              <w:bottom w:val="single" w:color="auto" w:sz="4" w:space="0"/>
              <w:right w:val="nil"/>
            </w:tcBorders>
            <w:shd w:val="clear" w:color="auto" w:fill="BEBEBE" w:themeFill="background1" w:themeFillShade="B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default" w:ascii="Times New Roman" w:hAnsi="Times New Roman"/>
                <w:color w:val="000000"/>
                <w:sz w:val="16"/>
                <w:szCs w:val="16"/>
              </w:rPr>
              <w:t>FDR</w:t>
            </w:r>
          </w:p>
        </w:tc>
      </w:tr>
      <w:tr>
        <w:tblPrEx>
          <w:tblCellMar>
            <w:top w:w="0" w:type="dxa"/>
            <w:left w:w="0" w:type="dxa"/>
            <w:bottom w:w="0" w:type="dxa"/>
            <w:right w:w="0" w:type="dxa"/>
          </w:tblCellMar>
        </w:tblPrEx>
        <w:trPr>
          <w:trHeight w:val="336" w:hRule="atLeast"/>
        </w:trPr>
        <w:tc>
          <w:tcPr>
            <w:tcW w:w="1844" w:type="pct"/>
            <w:gridSpan w:val="2"/>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等线"/>
                <w:color w:val="FF0000"/>
                <w:sz w:val="16"/>
                <w:szCs w:val="16"/>
                <w:lang w:val="en-US" w:eastAsia="zh-CN"/>
              </w:rPr>
            </w:pPr>
            <w:r>
              <w:rPr>
                <w:rFonts w:hint="eastAsia" w:ascii="Times New Roman" w:hAnsi="Times New Roman"/>
                <w:b/>
                <w:bCs/>
                <w:color w:val="FF0000"/>
                <w:sz w:val="16"/>
                <w:szCs w:val="16"/>
                <w:lang w:val="en-US" w:eastAsia="zh-CN"/>
              </w:rPr>
              <w:t>D</w:t>
            </w:r>
            <w:r>
              <w:rPr>
                <w:rFonts w:hint="eastAsia" w:ascii="Times New Roman" w:hAnsi="Times New Roman"/>
                <w:b/>
                <w:bCs/>
                <w:color w:val="FF0000"/>
                <w:sz w:val="16"/>
                <w:szCs w:val="16"/>
              </w:rPr>
              <w:t>iscovery</w:t>
            </w:r>
            <w:r>
              <w:rPr>
                <w:rFonts w:hint="eastAsia" w:ascii="Times New Roman" w:hAnsi="Times New Roman"/>
                <w:b/>
                <w:bCs/>
                <w:color w:val="FF0000"/>
                <w:sz w:val="16"/>
                <w:szCs w:val="16"/>
                <w:lang w:val="en-US" w:eastAsia="zh-CN"/>
              </w:rPr>
              <w:t xml:space="preserve"> cohort</w:t>
            </w:r>
          </w:p>
        </w:tc>
        <w:tc>
          <w:tcPr>
            <w:tcW w:w="245"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538" w:type="pct"/>
            <w:tcBorders>
              <w:top w:val="single" w:color="auto" w:sz="4" w:space="0"/>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875" w:type="pct"/>
            <w:tcBorders>
              <w:top w:val="single" w:color="auto" w:sz="4" w:space="0"/>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05"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435"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423"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等线"/>
                <w:color w:val="000000"/>
                <w:sz w:val="16"/>
                <w:szCs w:val="16"/>
                <w:lang w:val="en-US" w:eastAsia="zh-CN"/>
              </w:rPr>
            </w:pPr>
            <w:r>
              <w:rPr>
                <w:rFonts w:hint="eastAsia" w:ascii="Times New Roman" w:hAnsi="Times New Roman"/>
                <w:color w:val="FF0000"/>
                <w:sz w:val="16"/>
                <w:szCs w:val="16"/>
              </w:rPr>
              <w:t>Lymphoid leukaemia</w:t>
            </w:r>
            <w:r>
              <w:rPr>
                <w:rFonts w:hint="eastAsia" w:ascii="Times New Roman" w:hAnsi="Times New Roman"/>
                <w:color w:val="FF0000"/>
                <w:sz w:val="16"/>
                <w:szCs w:val="16"/>
                <w:lang w:val="en-US" w:eastAsia="zh-CN"/>
              </w:rPr>
              <w:t xml:space="preserve"> (SNP=144)</w:t>
            </w:r>
          </w:p>
        </w:tc>
        <w:tc>
          <w:tcPr>
            <w:tcW w:w="245"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538" w:type="pct"/>
            <w:tcBorders>
              <w:top w:val="single" w:color="auto" w:sz="4" w:space="0"/>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875" w:type="pct"/>
            <w:tcBorders>
              <w:top w:val="single" w:color="auto" w:sz="4" w:space="0"/>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05"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435"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423"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r>
      <w:tr>
        <w:tblPrEx>
          <w:tblCellMar>
            <w:top w:w="0" w:type="dxa"/>
            <w:left w:w="0" w:type="dxa"/>
            <w:bottom w:w="0" w:type="dxa"/>
            <w:right w:w="0" w:type="dxa"/>
          </w:tblCellMar>
        </w:tblPrEx>
        <w:trPr>
          <w:trHeight w:val="336" w:hRule="atLeast"/>
        </w:trPr>
        <w:tc>
          <w:tcPr>
            <w:tcW w:w="117"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olor w:val="000000"/>
                <w:sz w:val="16"/>
                <w:szCs w:val="16"/>
              </w:rPr>
            </w:pPr>
            <w:r>
              <w:rPr>
                <w:rFonts w:hint="default" w:ascii="Times New Roman" w:hAnsi="Times New Roman"/>
                <w:color w:val="000000"/>
                <w:sz w:val="16"/>
                <w:szCs w:val="16"/>
              </w:rPr>
              <w:t>1</w:t>
            </w:r>
          </w:p>
        </w:tc>
        <w:tc>
          <w:tcPr>
            <w:tcW w:w="1726"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eastAsia" w:ascii="Times New Roman" w:hAnsi="Times New Roman"/>
                <w:color w:val="000000"/>
                <w:sz w:val="16"/>
                <w:szCs w:val="16"/>
              </w:rPr>
              <w:t>telomere length</w:t>
            </w:r>
          </w:p>
        </w:tc>
        <w:tc>
          <w:tcPr>
            <w:tcW w:w="245"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0.888</w:t>
            </w:r>
          </w:p>
        </w:tc>
        <w:tc>
          <w:tcPr>
            <w:tcW w:w="538" w:type="pct"/>
            <w:tcBorders>
              <w:top w:val="single" w:color="auto" w:sz="4" w:space="0"/>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0.829</w:t>
            </w:r>
          </w:p>
        </w:tc>
        <w:tc>
          <w:tcPr>
            <w:tcW w:w="875" w:type="pct"/>
            <w:tcBorders>
              <w:top w:val="single" w:color="auto" w:sz="4" w:space="0"/>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eastAsia" w:ascii="Times New Roman" w:hAnsi="Times New Roman"/>
                <w:color w:val="000000"/>
                <w:sz w:val="16"/>
                <w:szCs w:val="16"/>
              </w:rPr>
              <w:t>GrimAge acceleration</w:t>
            </w:r>
          </w:p>
        </w:tc>
        <w:tc>
          <w:tcPr>
            <w:tcW w:w="330"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4.88E-02</w:t>
            </w:r>
          </w:p>
        </w:tc>
        <w:tc>
          <w:tcPr>
            <w:tcW w:w="305"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0.007</w:t>
            </w:r>
          </w:p>
        </w:tc>
        <w:tc>
          <w:tcPr>
            <w:tcW w:w="435"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0.99020098</w:t>
            </w:r>
          </w:p>
        </w:tc>
        <w:tc>
          <w:tcPr>
            <w:tcW w:w="423" w:type="pct"/>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0.99990001</w:t>
            </w:r>
          </w:p>
        </w:tc>
      </w:tr>
      <w:tr>
        <w:tblPrEx>
          <w:tblCellMar>
            <w:top w:w="0" w:type="dxa"/>
            <w:left w:w="0" w:type="dxa"/>
            <w:bottom w:w="0" w:type="dxa"/>
            <w:right w:w="0" w:type="dxa"/>
          </w:tblCellMar>
        </w:tblPrEx>
        <w:trPr>
          <w:trHeight w:val="32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olor w:val="000000"/>
                <w:sz w:val="16"/>
                <w:szCs w:val="16"/>
              </w:rPr>
            </w:pPr>
            <w:r>
              <w:rPr>
                <w:rFonts w:hint="default" w:ascii="Times New Roman" w:hAnsi="Times New Roman"/>
                <w:color w:val="000000"/>
                <w:sz w:val="16"/>
                <w:szCs w:val="16"/>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eastAsia" w:ascii="Times New Roman" w:hAnsi="Times New Roman" w:eastAsia="等线"/>
                <w:color w:val="000000"/>
                <w:sz w:val="16"/>
                <w:szCs w:val="16"/>
                <w:lang w:val="en-US" w:eastAsia="zh-CN"/>
              </w:rPr>
            </w:pPr>
            <w:r>
              <w:rPr>
                <w:rFonts w:hint="eastAsia" w:ascii="Times New Roman" w:hAnsi="Times New Roman"/>
                <w:color w:val="000000"/>
                <w:sz w:val="16"/>
                <w:szCs w:val="16"/>
              </w:rPr>
              <w:t>GrimAge acceleration</w:t>
            </w:r>
            <w:r>
              <w:rPr>
                <w:rFonts w:hint="eastAsia" w:ascii="Times New Roman" w:hAnsi="Times New Roman"/>
                <w:color w:val="000000"/>
                <w:sz w:val="16"/>
                <w:szCs w:val="16"/>
                <w:lang w:val="en-US" w:eastAsia="zh-CN"/>
              </w:rPr>
              <w:t xml:space="preserve">, </w:t>
            </w:r>
            <w:r>
              <w:rPr>
                <w:rFonts w:hint="eastAsia" w:ascii="Times New Roman" w:hAnsi="Times New Roman"/>
                <w:color w:val="000000"/>
                <w:sz w:val="16"/>
                <w:szCs w:val="16"/>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0.046</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0.14,0.847</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eastAsia" w:ascii="Times New Roman" w:hAnsi="Times New Roman"/>
                <w:color w:val="000000"/>
                <w:sz w:val="16"/>
                <w:szCs w:val="16"/>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3.90E-02</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0.004</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0.98860114</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0.99990001</w:t>
            </w:r>
          </w:p>
        </w:tc>
      </w:tr>
      <w:tr>
        <w:tblPrEx>
          <w:tblCellMar>
            <w:top w:w="0" w:type="dxa"/>
            <w:left w:w="0" w:type="dxa"/>
            <w:bottom w:w="0" w:type="dxa"/>
            <w:right w:w="0" w:type="dxa"/>
          </w:tblCellMar>
        </w:tblPrEx>
        <w:trPr>
          <w:trHeight w:val="32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olor w:val="000000"/>
                <w:sz w:val="16"/>
                <w:szCs w:val="16"/>
              </w:rPr>
            </w:pPr>
            <w:r>
              <w:rPr>
                <w:rFonts w:hint="default" w:ascii="Times New Roman" w:hAnsi="Times New Roman"/>
                <w:color w:val="000000"/>
                <w:sz w:val="16"/>
                <w:szCs w:val="16"/>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eastAsia" w:ascii="Times New Roman" w:hAnsi="Times New Roman"/>
                <w:color w:val="000000"/>
                <w:sz w:val="16"/>
                <w:szCs w:val="16"/>
                <w:lang w:val="en-US" w:eastAsia="zh-CN"/>
              </w:rPr>
              <w:t xml:space="preserve">Hannum age acceleration, </w:t>
            </w:r>
            <w:r>
              <w:rPr>
                <w:rFonts w:hint="eastAsia" w:ascii="Times New Roman" w:hAnsi="Times New Roman"/>
                <w:color w:val="000000"/>
                <w:sz w:val="16"/>
                <w:szCs w:val="16"/>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0.035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0.103,0.826</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eastAsia" w:ascii="Times New Roman" w:hAnsi="Times New Roman"/>
                <w:color w:val="000000"/>
                <w:sz w:val="16"/>
                <w:szCs w:val="16"/>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1.39E-02</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0.99940006</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0.99990001</w:t>
            </w:r>
          </w:p>
        </w:tc>
      </w:tr>
      <w:tr>
        <w:tblPrEx>
          <w:tblCellMar>
            <w:top w:w="0" w:type="dxa"/>
            <w:left w:w="0" w:type="dxa"/>
            <w:bottom w:w="0" w:type="dxa"/>
            <w:right w:w="0" w:type="dxa"/>
          </w:tblCellMar>
        </w:tblPrEx>
        <w:trPr>
          <w:trHeight w:val="32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olor w:val="000000"/>
                <w:sz w:val="16"/>
                <w:szCs w:val="16"/>
              </w:rPr>
            </w:pPr>
            <w:r>
              <w:rPr>
                <w:rFonts w:hint="default" w:ascii="Times New Roman" w:hAnsi="Times New Roman"/>
                <w:color w:val="000000"/>
                <w:sz w:val="16"/>
                <w:szCs w:val="16"/>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eastAsia" w:ascii="Times New Roman" w:hAnsi="Times New Roman"/>
                <w:color w:val="000000"/>
                <w:sz w:val="16"/>
                <w:szCs w:val="16"/>
              </w:rPr>
              <w:t>PhenoAge acceleration</w:t>
            </w:r>
            <w:r>
              <w:rPr>
                <w:rFonts w:hint="eastAsia" w:ascii="Times New Roman" w:hAnsi="Times New Roman"/>
                <w:color w:val="000000"/>
                <w:sz w:val="16"/>
                <w:szCs w:val="16"/>
                <w:lang w:val="en-US" w:eastAsia="zh-CN"/>
              </w:rPr>
              <w:t xml:space="preserve">, </w:t>
            </w:r>
            <w:r>
              <w:rPr>
                <w:rFonts w:hint="eastAsia" w:ascii="Times New Roman" w:hAnsi="Times New Roman"/>
                <w:color w:val="000000"/>
                <w:sz w:val="16"/>
                <w:szCs w:val="16"/>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0.013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0.035,0.843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等线"/>
                <w:color w:val="000000"/>
                <w:sz w:val="16"/>
                <w:szCs w:val="16"/>
                <w:lang w:val="en-US" w:eastAsia="zh-CN"/>
              </w:rPr>
            </w:pPr>
            <w:r>
              <w:rPr>
                <w:rFonts w:hint="eastAsia" w:ascii="Times New Roman" w:hAnsi="Times New Roman"/>
                <w:color w:val="000000"/>
                <w:sz w:val="16"/>
                <w:szCs w:val="16"/>
                <w:lang w:val="en-US" w:eastAsia="zh-CN"/>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3.50E-05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0.99990001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0.99990001</w:t>
            </w:r>
          </w:p>
        </w:tc>
      </w:tr>
      <w:tr>
        <w:tblPrEx>
          <w:tblCellMar>
            <w:top w:w="0" w:type="dxa"/>
            <w:left w:w="0" w:type="dxa"/>
            <w:bottom w:w="0" w:type="dxa"/>
            <w:right w:w="0" w:type="dxa"/>
          </w:tblCellMar>
        </w:tblPrEx>
        <w:trPr>
          <w:trHeight w:val="32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olor w:val="000000"/>
                <w:sz w:val="16"/>
                <w:szCs w:val="16"/>
              </w:rPr>
            </w:pPr>
            <w:r>
              <w:rPr>
                <w:rFonts w:hint="default" w:ascii="Times New Roman" w:hAnsi="Times New Roman"/>
                <w:color w:val="000000"/>
                <w:sz w:val="16"/>
                <w:szCs w:val="16"/>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eastAsia" w:ascii="Times New Roman" w:hAnsi="Times New Roman"/>
                <w:color w:val="000000"/>
                <w:sz w:val="16"/>
                <w:szCs w:val="16"/>
              </w:rPr>
              <w:t>Intrinsic epigenetic age acceleration</w:t>
            </w:r>
            <w:r>
              <w:rPr>
                <w:rFonts w:hint="eastAsia" w:ascii="Times New Roman" w:hAnsi="Times New Roman"/>
                <w:color w:val="000000"/>
                <w:sz w:val="16"/>
                <w:szCs w:val="16"/>
                <w:lang w:val="en-US" w:eastAsia="zh-CN"/>
              </w:rPr>
              <w:t xml:space="preserve">, </w:t>
            </w:r>
            <w:r>
              <w:rPr>
                <w:rFonts w:hint="eastAsia" w:ascii="Times New Roman" w:hAnsi="Times New Roman"/>
                <w:color w:val="000000"/>
                <w:sz w:val="16"/>
                <w:szCs w:val="16"/>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0.012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-0.026,0.839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eastAsia" w:ascii="Times New Roman" w:hAnsi="Times New Roman"/>
                <w:color w:val="000000"/>
                <w:sz w:val="16"/>
                <w:szCs w:val="16"/>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1.49E-02</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0.99990001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0.99990001</w:t>
            </w:r>
          </w:p>
        </w:tc>
      </w:tr>
      <w:tr>
        <w:tblPrEx>
          <w:tblCellMar>
            <w:top w:w="0" w:type="dxa"/>
            <w:left w:w="0" w:type="dxa"/>
            <w:bottom w:w="0" w:type="dxa"/>
            <w:right w:w="0" w:type="dxa"/>
          </w:tblCellMar>
        </w:tblPrEx>
        <w:trPr>
          <w:trHeight w:val="32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olor w:val="000000"/>
                <w:sz w:val="16"/>
                <w:szCs w:val="16"/>
              </w:rPr>
            </w:pPr>
            <w:r>
              <w:rPr>
                <w:rFonts w:hint="default" w:ascii="Times New Roman" w:hAnsi="Times New Roman"/>
                <w:color w:val="000000"/>
                <w:sz w:val="16"/>
                <w:szCs w:val="16"/>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eastAsia" w:ascii="Times New Roman" w:hAnsi="Times New Roman"/>
                <w:color w:val="000000"/>
                <w:sz w:val="16"/>
                <w:szCs w:val="16"/>
              </w:rPr>
              <w:t>GrimAge acceleration</w:t>
            </w:r>
            <w:r>
              <w:rPr>
                <w:rFonts w:hint="eastAsia" w:ascii="Times New Roman" w:hAnsi="Times New Roman"/>
                <w:color w:val="000000"/>
                <w:sz w:val="16"/>
                <w:szCs w:val="16"/>
                <w:lang w:val="en-US" w:eastAsia="zh-CN"/>
              </w:rPr>
              <w:t xml:space="preserve">, Hannum age acceleration, </w:t>
            </w:r>
            <w:r>
              <w:rPr>
                <w:rFonts w:hint="eastAsia" w:ascii="Times New Roman" w:hAnsi="Times New Roman"/>
                <w:color w:val="000000"/>
                <w:sz w:val="16"/>
                <w:szCs w:val="16"/>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0.085,0.072,0.837</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eastAsia" w:ascii="Times New Roman" w:hAnsi="Times New Roman"/>
                <w:color w:val="000000"/>
                <w:sz w:val="16"/>
                <w:szCs w:val="16"/>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9.98E-01</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0.828</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0.00009999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0.00059994</w:t>
            </w:r>
          </w:p>
        </w:tc>
      </w:tr>
      <w:tr>
        <w:tblPrEx>
          <w:tblCellMar>
            <w:top w:w="0" w:type="dxa"/>
            <w:left w:w="0" w:type="dxa"/>
            <w:bottom w:w="0" w:type="dxa"/>
            <w:right w:w="0" w:type="dxa"/>
          </w:tblCellMar>
        </w:tblPrEx>
        <w:trPr>
          <w:trHeight w:val="32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000000"/>
                <w:sz w:val="16"/>
                <w:szCs w:val="16"/>
              </w:rPr>
            </w:pPr>
            <w:r>
              <w:rPr>
                <w:rFonts w:hint="default" w:ascii="Times New Roman" w:hAnsi="Times New Roman"/>
                <w:color w:val="000000"/>
                <w:sz w:val="16"/>
                <w:szCs w:val="16"/>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eastAsia" w:ascii="Times New Roman" w:hAnsi="Times New Roman"/>
                <w:color w:val="000000"/>
                <w:sz w:val="16"/>
                <w:szCs w:val="16"/>
              </w:rPr>
              <w:t>Hannum age acceleration</w:t>
            </w:r>
            <w:r>
              <w:rPr>
                <w:rFonts w:hint="eastAsia" w:ascii="Times New Roman" w:hAnsi="Times New Roman"/>
                <w:color w:val="000000"/>
                <w:sz w:val="16"/>
                <w:szCs w:val="16"/>
                <w:lang w:val="en-US" w:eastAsia="zh-CN"/>
              </w:rPr>
              <w:t xml:space="preserve">, Intrinsic epigenetic age acceleration, </w:t>
            </w:r>
            <w:r>
              <w:rPr>
                <w:rFonts w:hint="eastAsia" w:ascii="Times New Roman" w:hAnsi="Times New Roman"/>
                <w:color w:val="000000"/>
                <w:sz w:val="16"/>
                <w:szCs w:val="16"/>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0.158,-0.085,0.856</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2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000000"/>
                <w:sz w:val="16"/>
                <w:szCs w:val="16"/>
              </w:rPr>
            </w:pPr>
            <w:r>
              <w:rPr>
                <w:rFonts w:hint="default" w:ascii="Times New Roman" w:hAnsi="Times New Roman"/>
                <w:color w:val="000000"/>
                <w:sz w:val="16"/>
                <w:szCs w:val="16"/>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eastAsia" w:ascii="Times New Roman" w:hAnsi="Times New Roman"/>
                <w:color w:val="000000"/>
                <w:sz w:val="16"/>
                <w:szCs w:val="16"/>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0.107</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2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000000"/>
                <w:sz w:val="16"/>
                <w:szCs w:val="16"/>
              </w:rPr>
            </w:pPr>
            <w:r>
              <w:rPr>
                <w:rFonts w:hint="default" w:ascii="Times New Roman" w:hAnsi="Times New Roman"/>
                <w:color w:val="000000"/>
                <w:sz w:val="16"/>
                <w:szCs w:val="16"/>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eastAsia" w:ascii="Times New Roman" w:hAnsi="Times New Roman"/>
                <w:color w:val="000000"/>
                <w:sz w:val="16"/>
                <w:szCs w:val="16"/>
              </w:rPr>
              <w:t>GrimAge acceleration</w:t>
            </w:r>
            <w:r>
              <w:rPr>
                <w:rFonts w:hint="eastAsia" w:ascii="Times New Roman" w:hAnsi="Times New Roman"/>
                <w:color w:val="000000"/>
                <w:sz w:val="16"/>
                <w:szCs w:val="16"/>
                <w:lang w:val="en-US" w:eastAsia="zh-CN"/>
              </w:rPr>
              <w:t xml:space="preserve">, Intrinsic epigenetic age acceleration, </w:t>
            </w:r>
            <w:r>
              <w:rPr>
                <w:rFonts w:hint="eastAsia" w:ascii="Times New Roman" w:hAnsi="Times New Roman"/>
                <w:color w:val="000000"/>
                <w:sz w:val="16"/>
                <w:szCs w:val="16"/>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0.157,-0.043,0.865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000000"/>
                <w:sz w:val="16"/>
                <w:szCs w:val="16"/>
              </w:rPr>
            </w:pPr>
            <w:r>
              <w:rPr>
                <w:rFonts w:hint="default" w:ascii="Times New Roman" w:hAnsi="Times New Roman"/>
                <w:color w:val="000000"/>
                <w:sz w:val="16"/>
                <w:szCs w:val="16"/>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r>
              <w:rPr>
                <w:rFonts w:hint="eastAsia" w:ascii="Times New Roman" w:hAnsi="Times New Roman"/>
                <w:color w:val="000000"/>
                <w:sz w:val="16"/>
                <w:szCs w:val="16"/>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0.113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i w:val="0"/>
                <w:iCs w:val="0"/>
                <w:color w:val="FF0000"/>
                <w:kern w:val="2"/>
                <w:sz w:val="16"/>
                <w:szCs w:val="16"/>
                <w:u w:val="none"/>
                <w:lang w:val="en-US" w:eastAsia="zh-CN" w:bidi="ar-SA"/>
              </w:rPr>
            </w:pPr>
            <w:r>
              <w:rPr>
                <w:rFonts w:hint="default" w:ascii="Times New Roman" w:hAnsi="Times New Roman" w:eastAsia="宋体" w:cs="Times New Roman"/>
                <w:i w:val="0"/>
                <w:iCs w:val="0"/>
                <w:color w:val="FF0000"/>
                <w:kern w:val="0"/>
                <w:sz w:val="16"/>
                <w:szCs w:val="16"/>
                <w:u w:val="none"/>
                <w:lang w:val="en-US" w:eastAsia="zh-CN" w:bidi="ar"/>
              </w:rPr>
              <w:t>Chronic lymphocytic leukaemia</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(SNP=144)</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0.543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0.752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8.95E-02</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0.016</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0.96670333</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0.9939006</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0.112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0.248,0.747</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2.44E-01</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0.061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0.1539846</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0.4619538</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0.109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0.251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3.28E-02</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0.99390061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0.9939006</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0.067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0.19,0.815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7.90E-05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0.99130087</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0.9939006</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0.041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0.215,0.775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1.24E-01</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0.022</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0.5270473</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0.9939006</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0.041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0.164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7.92E-01</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0.601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0.01249875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0.0749925</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0.034</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0.011,0.749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0.049,0.231,0.752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FF0000"/>
                <w:kern w:val="2"/>
                <w:sz w:val="16"/>
                <w:szCs w:val="16"/>
                <w:u w:val="none"/>
                <w:lang w:val="en-US" w:eastAsia="zh-CN" w:bidi="ar-SA"/>
              </w:rPr>
            </w:pPr>
            <w:r>
              <w:rPr>
                <w:rFonts w:hint="default" w:ascii="Times New Roman" w:hAnsi="Times New Roman" w:eastAsia="宋体" w:cs="Times New Roman"/>
                <w:i w:val="0"/>
                <w:iCs w:val="0"/>
                <w:color w:val="FF0000"/>
                <w:kern w:val="0"/>
                <w:sz w:val="16"/>
                <w:szCs w:val="16"/>
                <w:u w:val="none"/>
                <w:lang w:val="en-US" w:eastAsia="zh-CN" w:bidi="ar"/>
              </w:rPr>
              <w:t>Myeloid leukaemia</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(SNP=144)</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0.42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0.244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0.208431885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0.014</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0.5234477</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0.5936406</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0.177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0.061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0.164411245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-0.012</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0.3907609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0.5936406</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0.138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-0.068</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0.116602216</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0.005</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0.4969503</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0.5936406</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0.098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0.000587584</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0.1846815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0.5717428</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0.098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0.116695689</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-0.002</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0.5936406</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0.5936406</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0.069,0.251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0.4638648</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0.113</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0.1905809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0.5717428</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-0.069,0.246</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-0.012,0.24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0.033,0.234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0.148,-0.121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lang w:val="en-US"/>
              </w:rPr>
            </w:pPr>
            <w:r>
              <w:rPr>
                <w:rFonts w:hint="default" w:ascii="Times New Roman" w:hAnsi="Times New Roman" w:eastAsia="宋体" w:cs="Times New Roman"/>
                <w:i w:val="0"/>
                <w:iCs w:val="0"/>
                <w:color w:val="FF0000"/>
                <w:kern w:val="0"/>
                <w:sz w:val="16"/>
                <w:szCs w:val="16"/>
                <w:u w:val="none"/>
                <w:lang w:val="en-US" w:eastAsia="zh-CN" w:bidi="ar"/>
              </w:rPr>
              <w:t>Chronic myeloid leukaemia</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(SNP=144)</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0.23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0.142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0.201249879</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0.026</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0.70242976</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0.7147285</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0.208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-0.197</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0.263863346</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-0.057</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0.15308469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0.3061694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0.203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-0.21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0.116575415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-0.008</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0.71472853</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0.7147285</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0.141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0.092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0.001476633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0.07179282</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0.3061694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0.088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-0.078</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0.264217474</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-0.052</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0.11978802</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0.3061694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0.284,-0.304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0.290417999</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0.041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0.71342866</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0.7147285</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-0.21,0.146</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-0.194,0.098</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0.016</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0.224,-0.241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0.096,0.149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lang w:val="en-US"/>
              </w:rPr>
            </w:pPr>
            <w:r>
              <w:rPr>
                <w:rFonts w:hint="default" w:ascii="Times New Roman" w:hAnsi="Times New Roman" w:eastAsia="宋体" w:cs="Times New Roman"/>
                <w:i w:val="0"/>
                <w:iCs w:val="0"/>
                <w:color w:val="FF0000"/>
                <w:kern w:val="0"/>
                <w:sz w:val="16"/>
                <w:szCs w:val="16"/>
                <w:u w:val="none"/>
                <w:lang w:val="en-US" w:eastAsia="zh-CN" w:bidi="ar"/>
              </w:rPr>
              <w:t>Multiple myeloma and malignant plasma cell neoplasms</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(SNP=144)</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0.473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0.329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0.196592943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0.026</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0.5282472</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0.7923708</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0.153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0.135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0.159089684</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0.016</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0.3612639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0.7225277</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0.127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0.103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0.130148145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0.3056694</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0.7225277</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0.105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0.081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0.000142816</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0.8963104</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0.9140086</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0.046</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0.038</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0.06160903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0.002</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0.9140086</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0.9140086</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0.146,0.347</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0.551498479</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0.182</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0.1346865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0.7225277</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0.102,0.325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0.073,0.301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0.049,0.348</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0.004</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0.079,0.074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FF0000"/>
                <w:kern w:val="0"/>
                <w:sz w:val="16"/>
                <w:szCs w:val="16"/>
                <w:u w:val="none"/>
                <w:lang w:val="en-US" w:eastAsia="zh-CN" w:bidi="ar"/>
              </w:rPr>
              <w:t>Acute lymphocytic leukaemia</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(SNP=142)</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0.616</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0.589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0.089399298</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0.97970203</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0.97970203</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0.078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-0.134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0.098818365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0.918708129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0.97970203</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0.059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-0.117</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0.141903499</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-0.02</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0.358264174</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0.97970203</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0.052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0.000165196</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0.935606439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0.97970203</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-0.152,0.632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0.07720873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-0.007</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0.935406459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0.97970203</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0.048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-0.096</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0.747958317</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0.443</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0.01079892</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0.064793521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-0.12,0.594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0.004,0.59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-0.078,0.568</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GrimAge acceleration,Intrinsic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0.033,-0.137</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FF0000"/>
                <w:kern w:val="2"/>
                <w:sz w:val="16"/>
                <w:szCs w:val="16"/>
                <w:u w:val="none"/>
                <w:lang w:val="en-US" w:eastAsia="zh-CN" w:bidi="ar-SA"/>
              </w:rPr>
            </w:pPr>
            <w:r>
              <w:rPr>
                <w:rFonts w:hint="default" w:ascii="Times New Roman" w:hAnsi="Times New Roman" w:eastAsia="宋体" w:cs="Times New Roman"/>
                <w:i w:val="0"/>
                <w:iCs w:val="0"/>
                <w:color w:val="FF0000"/>
                <w:kern w:val="0"/>
                <w:sz w:val="16"/>
                <w:szCs w:val="16"/>
                <w:u w:val="none"/>
                <w:lang w:val="en-US" w:eastAsia="zh-CN" w:bidi="ar"/>
              </w:rPr>
              <w:t>Essential thrombocythaemia</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(SNP=144)</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0.67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0.703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0.068293967</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0.008</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0.9810019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0.98390161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0.16</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0.106685173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0.018</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0.818418158</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0.98390161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0.057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0.169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0.132712693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0.02</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0.318968103</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0.95690431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0.042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0.143,0.654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0.000115504</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0.949705029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0.98390161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0.041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0.167,0.699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0.03848273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0.002</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0.98390161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0.98390161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0.112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0.802415141</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0.563</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0.01889811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0.113388661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0.134,0.719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0.051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0.075,0.731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0.055,0.155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lang w:val="en-US"/>
              </w:rPr>
            </w:pPr>
            <w:r>
              <w:rPr>
                <w:rFonts w:hint="default" w:ascii="Times New Roman" w:hAnsi="Times New Roman" w:eastAsia="宋体" w:cs="Times New Roman"/>
                <w:i w:val="0"/>
                <w:iCs w:val="0"/>
                <w:color w:val="FF0000"/>
                <w:kern w:val="0"/>
                <w:sz w:val="16"/>
                <w:szCs w:val="16"/>
                <w:u w:val="none"/>
                <w:lang w:val="en-US" w:eastAsia="zh-CN" w:bidi="ar"/>
              </w:rPr>
              <w:t>Malignant immunoproliferative diseases</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(SNP=144)</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0.483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0.488</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0.180803753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-0.022</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0.804819518</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0.900009999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0.133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-0.118</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0.118309797</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-0.003</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0.900009999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0.900009999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0.097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0.107</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0.116154802</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0.709329067</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0.900009999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0.086</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0.091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0.000266574</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0.832916708</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0.900009999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0.084</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0.137984703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0.016</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0.561543846</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0.900009999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0.026</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-0.105,0.48</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0.569870848</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0.278</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0.03269673</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0.196180382</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0.123,0.516</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-0.022,0.488</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0.016</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0.079,0.471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-0.198,0.146</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lang w:val="en-US"/>
              </w:rPr>
            </w:pPr>
            <w:r>
              <w:rPr>
                <w:rFonts w:hint="default" w:ascii="Times New Roman" w:hAnsi="Times New Roman" w:eastAsia="宋体" w:cs="Times New Roman"/>
                <w:i w:val="0"/>
                <w:iCs w:val="0"/>
                <w:color w:val="FF0000"/>
                <w:kern w:val="0"/>
                <w:sz w:val="16"/>
                <w:szCs w:val="16"/>
                <w:u w:val="none"/>
                <w:lang w:val="en-US" w:eastAsia="zh-CN" w:bidi="ar"/>
              </w:rPr>
              <w:t>Hodgkin lymphoma</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(SNP=144)</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0.694</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0.494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0.131960843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0.02</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0.874812519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0.96350365</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0.073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0.144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0.064047563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0.005</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0.96350365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0.96350365</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0.159,0.512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0.06132637</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0.004</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0.915108489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0.96350365</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0.075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0.000220146</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0.775422458</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0.96350365</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0.075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0.061278696</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0.004</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0.939206079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0.96350365</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0.065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0.810976886</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0.402</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0.01689831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0.101389861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0.024</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0.082,0.523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0.073,0.492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0.063,0.473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0.121,0.063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lang w:val="en-US"/>
              </w:rPr>
            </w:pPr>
            <w:r>
              <w:rPr>
                <w:rFonts w:hint="default" w:ascii="Times New Roman" w:hAnsi="Times New Roman" w:eastAsia="宋体" w:cs="Times New Roman"/>
                <w:i w:val="0"/>
                <w:iCs w:val="0"/>
                <w:color w:val="FF0000"/>
                <w:kern w:val="0"/>
                <w:sz w:val="16"/>
                <w:szCs w:val="16"/>
                <w:u w:val="none"/>
                <w:lang w:val="en-US" w:eastAsia="zh-CN" w:bidi="ar"/>
              </w:rPr>
              <w:t>Non-follicular lymphoma</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(SNP=144)</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0.893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0.345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0.044855477</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0.002</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0.9850015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0.99350065</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0.042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0.025161583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0.99350065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0.99350065</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0.053,0.353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0.019097371</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0.9930007</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0.99350065</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0.014</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7.16E-05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0.96760324</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0.99350065</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0.02028864</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0.99270073</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0.99350065</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0.940209687</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0.325</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0.00559944</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0.03359664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-0.011,0.346</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0.008,0.349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0.002,0.345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0.069,-0.035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lang w:val="en-US"/>
              </w:rPr>
            </w:pPr>
            <w:r>
              <w:rPr>
                <w:rFonts w:hint="default" w:ascii="Times New Roman" w:hAnsi="Times New Roman" w:eastAsia="宋体" w:cs="Times New Roman"/>
                <w:i w:val="0"/>
                <w:iCs w:val="0"/>
                <w:color w:val="FF0000"/>
                <w:kern w:val="0"/>
                <w:sz w:val="16"/>
                <w:szCs w:val="16"/>
                <w:u w:val="none"/>
                <w:lang w:val="en-US" w:eastAsia="zh-CN" w:bidi="ar"/>
              </w:rPr>
              <w:t>Other and unspecified types of non-Hodgkin lymphoma</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(SNP=144)</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0.829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0.519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0.066263903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-0.004</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0.97890211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0.98710129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0.041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-0.063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0.041619611</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0.98690131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0.98710129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0.033841508</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0.98320168</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0.98710129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-0.047,0.513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9.50E-05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0.96490351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0.98710129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0.027</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0.034761347</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0.98710129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0.98710129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0.889904428</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0.462</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0.00779922</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0.04679532</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0.014</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-0.006,0.519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0.02,0.527</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0.013,0.514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-0.083,0.026</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FF0000"/>
                <w:kern w:val="2"/>
                <w:sz w:val="16"/>
                <w:szCs w:val="16"/>
                <w:u w:val="none"/>
                <w:lang w:val="en-US" w:eastAsia="zh-CN" w:bidi="ar-SA"/>
              </w:rPr>
            </w:pPr>
            <w:r>
              <w:rPr>
                <w:rFonts w:hint="default" w:ascii="Times New Roman" w:hAnsi="Times New Roman" w:eastAsia="宋体" w:cs="Times New Roman"/>
                <w:i w:val="0"/>
                <w:iCs w:val="0"/>
                <w:color w:val="FF0000"/>
                <w:kern w:val="0"/>
                <w:sz w:val="16"/>
                <w:szCs w:val="16"/>
                <w:u w:val="none"/>
                <w:lang w:val="en-US" w:eastAsia="zh-CN" w:bidi="ar"/>
              </w:rPr>
              <w:t>Non-Hodgkin lymphoma</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(SNP=142)</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0.831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0.403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0.060600222</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0.9750025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0.97770223</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0.043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-0.026</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0.041774059</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0.97770223</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0.97770223</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0.034845972</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0.96350365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0.97770223</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0.000100987</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0.946405359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0.97770223</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0.035378092</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0.9750025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0.97770223</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0.016</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-0.014,0.401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0.876344013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0.353</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0.01249875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0.074992501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-0.011,0.404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-0.002,0.402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0.012,0.398</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-0.026,0.001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lang w:val="en-US"/>
              </w:rPr>
            </w:pPr>
            <w:r>
              <w:rPr>
                <w:rFonts w:hint="default" w:ascii="Times New Roman" w:hAnsi="Times New Roman" w:eastAsia="宋体" w:cs="Times New Roman"/>
                <w:i w:val="0"/>
                <w:iCs w:val="0"/>
                <w:color w:val="FF0000"/>
                <w:kern w:val="0"/>
                <w:sz w:val="16"/>
                <w:szCs w:val="16"/>
                <w:u w:val="none"/>
                <w:lang w:val="en-US" w:eastAsia="zh-CN" w:bidi="ar"/>
              </w:rPr>
              <w:t>Other and unspecified iron deficiency</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(SNP=144)</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0.56</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0.162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0.050260874</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0.96460354</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0.96460354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0.038037389</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0.96350365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0.96460354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0.0278951</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0.95580442</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0.96460354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6.97E-05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0.948705129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0.96460354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-0.046,0.141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0.342379906</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-0.017</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0.04389561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0.263373663</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0.59730683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0.096</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0.131686831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0.395060494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0.047,-0.07</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0.045,-0.06</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0.01,0.164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0.004</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0.031,-0.069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lang w:val="en-US"/>
              </w:rPr>
            </w:pPr>
            <w:r>
              <w:rPr>
                <w:rFonts w:hint="default" w:ascii="Times New Roman" w:hAnsi="Times New Roman" w:eastAsia="宋体" w:cs="Times New Roman"/>
                <w:i w:val="0"/>
                <w:iCs w:val="0"/>
                <w:color w:val="FF0000"/>
                <w:kern w:val="0"/>
                <w:sz w:val="16"/>
                <w:szCs w:val="16"/>
                <w:u w:val="none"/>
                <w:lang w:val="en-US" w:eastAsia="zh-CN" w:bidi="ar"/>
              </w:rPr>
              <w:t>Other disorders of white blood cells</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(SNP=144)</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0.557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-0.238</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0.142082259</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0.005</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0.804719528</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0.835816418</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0.121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0.038</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0.138577344</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0.008</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0.514448555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0.835816418</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0.115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0.055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0.101223582</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-0.004</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0.569043096</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0.835816418</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0.083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0.000211528</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0.745725427</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0.835816418</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0.065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0.077324307</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0.835816418</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0.835816418</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0.031,-0.234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0.600533535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-0.143</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0.098790121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0.592740726</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0.056,-0.24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-0.033,-0.225</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0.004,-0.236</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0.105,-0.078</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lang w:val="en-US"/>
              </w:rPr>
            </w:pPr>
            <w:r>
              <w:rPr>
                <w:rFonts w:hint="default" w:ascii="Times New Roman" w:hAnsi="Times New Roman" w:eastAsia="宋体" w:cs="Times New Roman"/>
                <w:i w:val="0"/>
                <w:iCs w:val="0"/>
                <w:color w:val="FF0000"/>
                <w:kern w:val="0"/>
                <w:sz w:val="16"/>
                <w:szCs w:val="16"/>
                <w:u w:val="none"/>
                <w:lang w:val="en-US" w:eastAsia="zh-CN" w:bidi="ar"/>
              </w:rPr>
              <w:t>Other and unspecified coagulation defects</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(SNP=144)</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0.532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0.354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0.100821859</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0.924507549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0.930706929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0.189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0.072453981</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0.930706929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0.930706929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0.079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0.086298649</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-0.005</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0.723827617</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0.930706929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0.067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-0.059</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0.000161278</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0.865713429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0.930706929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0.054</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0.228735122</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-0.025</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0.116088391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0.348265173</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0.024</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-0.1,0.314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0.593138861</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0.209</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0.102589741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0.348265173</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-0.069,0.38</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-0.008,0.353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-0.002,0.354</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0.006</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0.09,-0.147</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等线"/>
                <w:color w:val="000000"/>
                <w:sz w:val="16"/>
                <w:szCs w:val="16"/>
                <w:lang w:val="en-US" w:eastAsia="zh-CN"/>
              </w:rPr>
            </w:pPr>
            <w:r>
              <w:rPr>
                <w:rFonts w:hint="eastAsia" w:ascii="Times New Roman" w:hAnsi="Times New Roman"/>
                <w:b/>
                <w:bCs/>
                <w:color w:val="FF0000"/>
                <w:sz w:val="16"/>
                <w:szCs w:val="16"/>
                <w:lang w:val="en-US" w:eastAsia="zh-CN"/>
              </w:rPr>
              <w:t>Validation cohort</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lang w:val="en-US"/>
              </w:rPr>
            </w:pPr>
            <w:r>
              <w:rPr>
                <w:rFonts w:hint="default" w:ascii="Times New Roman" w:hAnsi="Times New Roman" w:eastAsia="宋体" w:cs="Times New Roman"/>
                <w:i w:val="0"/>
                <w:iCs w:val="0"/>
                <w:color w:val="FF0000"/>
                <w:kern w:val="0"/>
                <w:sz w:val="16"/>
                <w:szCs w:val="16"/>
                <w:u w:val="none"/>
                <w:lang w:val="en-US" w:eastAsia="zh-CN" w:bidi="ar"/>
              </w:rPr>
              <w:t>Leukaemia</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(SNP=148)</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0.994</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7.33E-05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0.006</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0.001,0.003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0.006076573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0.99450055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5.77E-05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0.99990001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0,0.003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7.12E-08</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0,0.003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4.21E-05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0,0.003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0.99966854</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0.003</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1.00E-04</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0.00059994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0,0.003</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lang w:val="en-US"/>
              </w:rPr>
            </w:pPr>
            <w:r>
              <w:rPr>
                <w:rFonts w:hint="default" w:ascii="Times New Roman" w:hAnsi="Times New Roman" w:eastAsia="宋体" w:cs="Times New Roman"/>
                <w:i w:val="0"/>
                <w:iCs w:val="0"/>
                <w:color w:val="FF0000"/>
                <w:kern w:val="0"/>
                <w:sz w:val="16"/>
                <w:szCs w:val="16"/>
                <w:u w:val="none"/>
                <w:lang w:val="en-US" w:eastAsia="zh-CN" w:bidi="ar"/>
              </w:rPr>
              <w:t>Lymphoid leukaemia</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(SNP=142)</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0.999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5.43E-05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0,0.002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0.000601037</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0.99960004</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0,0.002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6.38E-05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0.99990001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0,0.002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1.03E-07</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0,0.002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2.73E-05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0.999993242</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0.002</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1.00E-04</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0.00059994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-0.001,0.001,0.002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lang w:val="en-US"/>
              </w:rPr>
            </w:pPr>
            <w:r>
              <w:rPr>
                <w:rFonts w:hint="default" w:ascii="Times New Roman" w:hAnsi="Times New Roman" w:eastAsia="宋体" w:cs="Times New Roman"/>
                <w:i w:val="0"/>
                <w:iCs w:val="0"/>
                <w:color w:val="FF0000"/>
                <w:kern w:val="0"/>
                <w:sz w:val="16"/>
                <w:szCs w:val="16"/>
                <w:u w:val="none"/>
                <w:lang w:val="en-US" w:eastAsia="zh-CN" w:bidi="ar"/>
              </w:rPr>
              <w:t>Myeloid leukaemia</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(SNP=136)</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0.396</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0.244600518</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0.212678732</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0.638036196</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0.245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0.396527757</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0.04029597</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0.241775822</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0.212</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0.08940226</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0.461153885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0.885611439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0.089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0.000180293</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0.727327267</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0.885611439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0.057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0.057545961</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0.817818218</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0.885611439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0.211973011</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0.885611439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0.885611439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lang w:val="en-US"/>
              </w:rPr>
            </w:pPr>
            <w:r>
              <w:rPr>
                <w:rFonts w:hint="default" w:ascii="Times New Roman" w:hAnsi="Times New Roman" w:eastAsia="宋体" w:cs="Times New Roman"/>
                <w:i w:val="0"/>
                <w:iCs w:val="0"/>
                <w:color w:val="FF0000"/>
                <w:kern w:val="0"/>
                <w:sz w:val="16"/>
                <w:szCs w:val="16"/>
                <w:u w:val="none"/>
                <w:lang w:val="en-US" w:eastAsia="zh-CN" w:bidi="ar"/>
              </w:rPr>
              <w:t>Multiple myeloma</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(SNP=140)</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0.929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0.01714055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0.98760124</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0.98760124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0.033</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0.033561446</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0.95380462</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0.98760124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0.008841664</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0.98580142</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0.98760124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0.011</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4.21E-05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0.96950305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0.98760124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0.010938368</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0.9860014</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0.98760124</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0,0.001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0.929631457</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0.00919908</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0.055194481</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0,0.001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0,0.001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0,0.001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844" w:type="pct"/>
            <w:gridSpan w:val="2"/>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lang w:val="en-US"/>
              </w:rPr>
            </w:pPr>
            <w:r>
              <w:rPr>
                <w:rFonts w:hint="default" w:ascii="Times New Roman" w:hAnsi="Times New Roman" w:eastAsia="宋体" w:cs="Times New Roman"/>
                <w:i w:val="0"/>
                <w:iCs w:val="0"/>
                <w:color w:val="FF0000"/>
                <w:kern w:val="0"/>
                <w:sz w:val="16"/>
                <w:szCs w:val="16"/>
                <w:u w:val="none"/>
                <w:lang w:val="en-US" w:eastAsia="zh-CN" w:bidi="ar"/>
              </w:rPr>
              <w:t>Lymphomas</w:t>
            </w:r>
            <w:r>
              <w:rPr>
                <w:rFonts w:hint="eastAsia" w:ascii="Times New Roman" w:hAnsi="Times New Roman" w:eastAsia="宋体" w:cs="Times New Roman"/>
                <w:i w:val="0"/>
                <w:iCs w:val="0"/>
                <w:color w:val="FF0000"/>
                <w:kern w:val="0"/>
                <w:sz w:val="16"/>
                <w:szCs w:val="16"/>
                <w:u w:val="none"/>
                <w:lang w:val="en-US" w:eastAsia="zh-CN" w:bidi="ar"/>
              </w:rPr>
              <w:t xml:space="preserve"> </w:t>
            </w:r>
            <w:r>
              <w:rPr>
                <w:rFonts w:hint="eastAsia" w:ascii="Times New Roman" w:hAnsi="Times New Roman"/>
                <w:color w:val="FF0000"/>
                <w:sz w:val="16"/>
                <w:szCs w:val="16"/>
                <w:lang w:val="en-US" w:eastAsia="zh-CN"/>
              </w:rPr>
              <w:t>(SNP=148)</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0.609</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0.178661438</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0.505249475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0.903609639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0.178</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0.124802125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0.486551345</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0.903609639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0.125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0.037083847</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0.903609639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0.903609639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0.05</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0.000122268</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0.779222078</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0.903609639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0.037</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0.050356577</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0.865713429</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0.903609639</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GrimAge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0.001,0.002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telomere length</w:t>
            </w: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0.609418425</w:t>
            </w: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0.001</w:t>
            </w: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0.128887111</w:t>
            </w: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Times New Roman"/>
                <w:sz w:val="16"/>
                <w:szCs w:val="16"/>
              </w:rPr>
            </w:pPr>
            <w:r>
              <w:rPr>
                <w:rFonts w:hint="default" w:ascii="Times New Roman" w:hAnsi="Times New Roman" w:eastAsia="宋体" w:cs="Times New Roman"/>
                <w:i w:val="0"/>
                <w:iCs w:val="0"/>
                <w:color w:val="000000"/>
                <w:kern w:val="0"/>
                <w:sz w:val="16"/>
                <w:szCs w:val="16"/>
                <w:u w:val="none"/>
                <w:lang w:val="en-US" w:eastAsia="zh-CN" w:bidi="ar"/>
              </w:rPr>
              <w:t>0.773322668</w:t>
            </w: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DNAm PAI-1</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Hannum 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0,0.001</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1726"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PhenoAge acceleration,telomere length</w:t>
            </w:r>
          </w:p>
        </w:tc>
        <w:tc>
          <w:tcPr>
            <w:tcW w:w="24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nil"/>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0,0.002</w:t>
            </w:r>
          </w:p>
        </w:tc>
        <w:tc>
          <w:tcPr>
            <w:tcW w:w="875" w:type="pct"/>
            <w:tcBorders>
              <w:top w:val="nil"/>
              <w:left w:val="single" w:color="auto" w:sz="4" w:space="0"/>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117" w:type="pct"/>
            <w:tcBorders>
              <w:top w:val="nil"/>
              <w:left w:val="nil"/>
              <w:bottom w:val="single" w:color="auto" w:sz="4" w:space="0"/>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1726" w:type="pct"/>
            <w:tcBorders>
              <w:top w:val="nil"/>
              <w:left w:val="nil"/>
              <w:bottom w:val="single" w:color="auto" w:sz="4" w:space="0"/>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color w:val="000000"/>
                <w:sz w:val="16"/>
                <w:szCs w:val="16"/>
              </w:rPr>
            </w:pPr>
            <w:r>
              <w:rPr>
                <w:rFonts w:hint="default" w:ascii="Times New Roman" w:hAnsi="Times New Roman" w:eastAsia="宋体" w:cs="Times New Roman"/>
                <w:i w:val="0"/>
                <w:iCs w:val="0"/>
                <w:color w:val="000000"/>
                <w:kern w:val="0"/>
                <w:sz w:val="16"/>
                <w:szCs w:val="16"/>
                <w:u w:val="none"/>
                <w:lang w:val="en-US" w:eastAsia="zh-CN" w:bidi="ar"/>
              </w:rPr>
              <w:t>Intrinsic epigenetic age acceleration,telomere length</w:t>
            </w:r>
          </w:p>
        </w:tc>
        <w:tc>
          <w:tcPr>
            <w:tcW w:w="245" w:type="pct"/>
            <w:tcBorders>
              <w:top w:val="nil"/>
              <w:left w:val="nil"/>
              <w:bottom w:val="single" w:color="auto" w:sz="4" w:space="0"/>
              <w:right w:val="nil"/>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w:t>
            </w:r>
          </w:p>
        </w:tc>
        <w:tc>
          <w:tcPr>
            <w:tcW w:w="53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0,0.001</w:t>
            </w:r>
          </w:p>
        </w:tc>
        <w:tc>
          <w:tcPr>
            <w:tcW w:w="875" w:type="pct"/>
            <w:tcBorders>
              <w:top w:val="nil"/>
              <w:left w:val="single" w:color="auto" w:sz="4" w:space="0"/>
              <w:bottom w:val="single" w:color="auto" w:sz="4" w:space="0"/>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color w:val="000000"/>
                <w:sz w:val="16"/>
                <w:szCs w:val="16"/>
              </w:rPr>
            </w:pPr>
          </w:p>
        </w:tc>
        <w:tc>
          <w:tcPr>
            <w:tcW w:w="330" w:type="pct"/>
            <w:tcBorders>
              <w:top w:val="nil"/>
              <w:left w:val="nil"/>
              <w:bottom w:val="single" w:color="auto" w:sz="4" w:space="0"/>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305" w:type="pct"/>
            <w:tcBorders>
              <w:top w:val="nil"/>
              <w:left w:val="nil"/>
              <w:bottom w:val="single" w:color="auto" w:sz="4" w:space="0"/>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35" w:type="pct"/>
            <w:tcBorders>
              <w:top w:val="nil"/>
              <w:left w:val="nil"/>
              <w:bottom w:val="single" w:color="auto" w:sz="4" w:space="0"/>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c>
          <w:tcPr>
            <w:tcW w:w="423" w:type="pct"/>
            <w:tcBorders>
              <w:top w:val="nil"/>
              <w:left w:val="nil"/>
              <w:bottom w:val="single" w:color="auto" w:sz="4" w:space="0"/>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p>
        </w:tc>
      </w:tr>
      <w:tr>
        <w:tblPrEx>
          <w:tblCellMar>
            <w:top w:w="0" w:type="dxa"/>
            <w:left w:w="0" w:type="dxa"/>
            <w:bottom w:w="0" w:type="dxa"/>
            <w:right w:w="0" w:type="dxa"/>
          </w:tblCellMar>
        </w:tblPrEx>
        <w:trPr>
          <w:trHeight w:val="336" w:hRule="atLeast"/>
        </w:trPr>
        <w:tc>
          <w:tcPr>
            <w:tcW w:w="5000" w:type="pct"/>
            <w:gridSpan w:val="9"/>
            <w:tcBorders>
              <w:top w:val="single" w:color="auto" w:sz="4" w:space="0"/>
              <w:left w:val="nil"/>
              <w:bottom w:val="nil"/>
              <w:right w:val="nil"/>
            </w:tcBorders>
            <w:shd w:val="clear" w:color="auto" w:fill="auto"/>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Times New Roman"/>
                <w:sz w:val="16"/>
                <w:szCs w:val="16"/>
              </w:rPr>
            </w:pPr>
            <w:r>
              <w:rPr>
                <w:rFonts w:hint="default" w:ascii="Times New Roman" w:hAnsi="Times New Roman"/>
                <w:sz w:val="20"/>
                <w:szCs w:val="20"/>
              </w:rPr>
              <w:t xml:space="preserve">Top ten models (combination of risk factors) ranked by the model posterior probability and all risk factors ranked by the marginal inclusion probability based on all genetic variants. </w:t>
            </w:r>
            <w:r>
              <w:rPr>
                <w:rFonts w:hint="default" w:ascii="Times New Roman" w:hAnsi="Times New Roman"/>
                <w:color w:val="000000" w:themeColor="text1"/>
                <w:sz w:val="20"/>
                <w:szCs w:val="20"/>
                <w14:textFill>
                  <w14:solidFill>
                    <w14:schemeClr w14:val="tx1"/>
                  </w14:solidFill>
                </w14:textFill>
              </w:rPr>
              <w:t xml:space="preserve">Causal effects are log odds ratios for </w:t>
            </w:r>
            <w:r>
              <w:rPr>
                <w:rFonts w:hint="eastAsia" w:ascii="Times New Roman" w:hAnsi="Times New Roman"/>
                <w:color w:val="000000" w:themeColor="text1"/>
                <w:sz w:val="20"/>
                <w:szCs w:val="20"/>
                <w14:textFill>
                  <w14:solidFill>
                    <w14:schemeClr w14:val="tx1"/>
                  </w14:solidFill>
                </w14:textFill>
              </w:rPr>
              <w:t>haematologic diseases</w:t>
            </w:r>
            <w:r>
              <w:rPr>
                <w:rFonts w:hint="default" w:ascii="Times New Roman" w:hAnsi="Times New Roman"/>
                <w:color w:val="000000" w:themeColor="text1"/>
                <w:sz w:val="20"/>
                <w:szCs w:val="20"/>
                <w14:textFill>
                  <w14:solidFill>
                    <w14:schemeClr w14:val="tx1"/>
                  </w14:solidFill>
                </w14:textFill>
              </w:rPr>
              <w:t xml:space="preserve">. </w:t>
            </w:r>
            <w:r>
              <w:rPr>
                <w:rFonts w:hint="default" w:ascii="Times New Roman" w:hAnsi="Times New Roman"/>
                <w:sz w:val="20"/>
                <w:szCs w:val="20"/>
              </w:rPr>
              <w:t>Empirical P-values are computed using 200 permutations</w:t>
            </w:r>
            <w:r>
              <w:rPr>
                <w:rFonts w:hint="default"/>
              </w:rPr>
              <w:t xml:space="preserve"> </w:t>
            </w:r>
            <w:r>
              <w:rPr>
                <w:rFonts w:hint="default" w:ascii="Times New Roman" w:hAnsi="Times New Roman"/>
                <w:sz w:val="20"/>
                <w:szCs w:val="20"/>
              </w:rPr>
              <w:t xml:space="preserve">and adjustment for multiple testing via the Benjamini and Hochberg false discovery rate (FDR) procedure. </w:t>
            </w:r>
            <w:r>
              <w:rPr>
                <w:rFonts w:hint="eastAsia" w:ascii="Times New Roman" w:hAnsi="Times New Roman" w:cs="Times New Roman"/>
                <w:b w:val="0"/>
                <w:bCs w:val="0"/>
                <w:sz w:val="20"/>
                <w:szCs w:val="20"/>
                <w:lang w:val="en-US" w:eastAsia="zh-CN"/>
              </w:rPr>
              <w:t xml:space="preserve">SNP=single nucleotide polymorphism, </w:t>
            </w:r>
            <w:r>
              <w:rPr>
                <w:rFonts w:hint="default" w:ascii="Times New Roman" w:hAnsi="Times New Roman"/>
                <w:sz w:val="20"/>
                <w:szCs w:val="20"/>
              </w:rPr>
              <w:t xml:space="preserve">PP=posterior probability, MIP =Marginal inclusion probability, </w:t>
            </w:r>
            <w:r>
              <w:rPr>
                <w:rFonts w:hint="default" w:ascii="Times New Roman" w:hAnsi="Times New Roman" w:eastAsia="宋体" w:cs="Times New Roman"/>
                <w:i w:val="0"/>
                <w:iCs w:val="0"/>
                <w:color w:val="000000"/>
                <w:kern w:val="0"/>
                <w:sz w:val="20"/>
                <w:szCs w:val="20"/>
                <w:u w:val="none"/>
                <w:lang w:val="en-US" w:eastAsia="zh-CN" w:bidi="ar"/>
              </w:rPr>
              <w:t>DNAm PAI-1</w:t>
            </w:r>
            <w:r>
              <w:rPr>
                <w:rFonts w:hint="default" w:ascii="Times New Roman" w:hAnsi="Times New Roman"/>
                <w:sz w:val="20"/>
                <w:szCs w:val="20"/>
              </w:rPr>
              <w:t xml:space="preserve">= </w:t>
            </w:r>
            <w:r>
              <w:rPr>
                <w:rFonts w:hint="eastAsia" w:ascii="Times New Roman" w:hAnsi="Times New Roman"/>
                <w:sz w:val="20"/>
                <w:szCs w:val="20"/>
              </w:rPr>
              <w:t>DNA methylation-estimated plasminogen activator inhibitor-</w:t>
            </w:r>
            <w:r>
              <w:rPr>
                <w:rFonts w:hint="eastAsia" w:ascii="Times New Roman" w:hAnsi="Times New Roman"/>
                <w:sz w:val="20"/>
                <w:szCs w:val="20"/>
                <w:lang w:val="en-US" w:eastAsia="zh-CN"/>
              </w:rPr>
              <w:t>1</w:t>
            </w:r>
            <w:r>
              <w:rPr>
                <w:rFonts w:hint="default" w:ascii="Times New Roman" w:hAnsi="Times New Roman"/>
                <w:sz w:val="20"/>
                <w:szCs w:val="20"/>
              </w:rPr>
              <w:t>.</w:t>
            </w:r>
          </w:p>
        </w:tc>
      </w:tr>
    </w:tbl>
    <w:p>
      <w:pPr>
        <w:spacing w:before="156" w:beforeLines="50" w:afterLines="0"/>
        <w:jc w:val="left"/>
        <w:rPr>
          <w:rFonts w:hint="eastAsia" w:ascii="Times New Roman" w:hAnsi="Times New Roman"/>
          <w:b/>
          <w:bCs/>
          <w:sz w:val="20"/>
          <w:szCs w:val="20"/>
        </w:rPr>
      </w:pPr>
      <w:r>
        <w:rPr>
          <w:rFonts w:hint="default" w:ascii="Times New Roman" w:hAnsi="Times New Roman"/>
          <w:b/>
          <w:sz w:val="20"/>
          <w:szCs w:val="20"/>
        </w:rPr>
        <w:t>Supplementary</w:t>
      </w:r>
      <w:r>
        <w:rPr>
          <w:rFonts w:hint="default" w:ascii="Times New Roman" w:hAnsi="Times New Roman"/>
          <w:b/>
          <w:color w:val="000000"/>
          <w:sz w:val="20"/>
          <w:szCs w:val="20"/>
        </w:rPr>
        <w:t xml:space="preserve"> </w:t>
      </w:r>
      <w:r>
        <w:rPr>
          <w:rFonts w:hint="eastAsia" w:ascii="Times New Roman" w:hAnsi="Times New Roman"/>
          <w:b/>
          <w:color w:val="231F20"/>
          <w:sz w:val="20"/>
          <w:szCs w:val="20"/>
        </w:rPr>
        <w:t>F</w:t>
      </w:r>
      <w:r>
        <w:rPr>
          <w:rFonts w:hint="default" w:ascii="Times New Roman" w:hAnsi="Times New Roman"/>
          <w:b/>
          <w:color w:val="231F20"/>
          <w:sz w:val="20"/>
          <w:szCs w:val="20"/>
        </w:rPr>
        <w:t>igure 1</w:t>
      </w:r>
      <w:r>
        <w:rPr>
          <w:rFonts w:hint="eastAsia" w:ascii="Times New Roman" w:hAnsi="Times New Roman"/>
          <w:b/>
          <w:color w:val="231F20"/>
          <w:sz w:val="20"/>
          <w:szCs w:val="20"/>
        </w:rPr>
        <w:t>.</w:t>
      </w:r>
      <w:r>
        <w:rPr>
          <w:rFonts w:hint="default" w:ascii="Times New Roman" w:hAnsi="Times New Roman"/>
          <w:color w:val="231F20"/>
          <w:sz w:val="20"/>
          <w:szCs w:val="20"/>
        </w:rPr>
        <w:t xml:space="preserve"> </w:t>
      </w:r>
      <w:r>
        <w:rPr>
          <w:rFonts w:hint="default" w:ascii="Times New Roman" w:hAnsi="Times New Roman"/>
          <w:color w:val="000000"/>
          <w:sz w:val="20"/>
          <w:szCs w:val="20"/>
        </w:rPr>
        <w:t>A fishbone diagram to demonstrate which specific haematologic diseases constitute each of the 59 GWAS summary statistics in this study.</w:t>
      </w:r>
    </w:p>
    <w:p>
      <w:pPr>
        <w:rPr>
          <w:rFonts w:hint="eastAsia" w:ascii="Times New Roman" w:hAnsi="Times New Roman" w:eastAsia="等线"/>
          <w:b/>
          <w:bCs/>
          <w:sz w:val="20"/>
          <w:szCs w:val="20"/>
          <w:lang w:eastAsia="zh-CN"/>
        </w:rPr>
      </w:pPr>
      <w:r>
        <w:rPr>
          <w:rFonts w:hint="eastAsia" w:ascii="Times New Roman" w:hAnsi="Times New Roman" w:eastAsia="等线"/>
          <w:b/>
          <w:bCs/>
          <w:sz w:val="20"/>
          <w:szCs w:val="20"/>
          <w:lang w:eastAsia="zh-CN"/>
        </w:rPr>
        <w:drawing>
          <wp:inline distT="0" distB="0" distL="114300" distR="114300">
            <wp:extent cx="7002145" cy="4276090"/>
            <wp:effectExtent l="0" t="0" r="8255" b="635"/>
            <wp:docPr id="1" name="图片 1" descr="Supplementary Figure 1-JPG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tary Figure 1-JPG版"/>
                    <pic:cNvPicPr>
                      <a:picLocks noChangeAspect="1"/>
                    </pic:cNvPicPr>
                  </pic:nvPicPr>
                  <pic:blipFill>
                    <a:blip r:embed="rId5"/>
                    <a:stretch>
                      <a:fillRect/>
                    </a:stretch>
                  </pic:blipFill>
                  <pic:spPr>
                    <a:xfrm>
                      <a:off x="0" y="0"/>
                      <a:ext cx="7002145" cy="4276090"/>
                    </a:xfrm>
                    <a:prstGeom prst="rect">
                      <a:avLst/>
                    </a:prstGeom>
                  </pic:spPr>
                </pic:pic>
              </a:graphicData>
            </a:graphic>
          </wp:inline>
        </w:drawing>
      </w:r>
    </w:p>
    <w:p>
      <w:pPr>
        <w:rPr>
          <w:rFonts w:hint="eastAsia" w:ascii="Times New Roman" w:hAnsi="Times New Roman"/>
          <w:b w:val="0"/>
          <w:bCs w:val="0"/>
          <w:sz w:val="20"/>
          <w:szCs w:val="20"/>
          <w:lang w:val="en-US" w:eastAsia="zh-CN"/>
        </w:rPr>
      </w:pPr>
      <w:r>
        <w:rPr>
          <w:rFonts w:hint="eastAsia" w:ascii="Times New Roman" w:hAnsi="Times New Roman"/>
          <w:b w:val="0"/>
          <w:bCs w:val="0"/>
          <w:sz w:val="20"/>
          <w:szCs w:val="20"/>
          <w:lang w:val="en-US" w:eastAsia="zh-CN"/>
        </w:rPr>
        <w:t xml:space="preserve">Note: </w:t>
      </w:r>
    </w:p>
    <w:p>
      <w:pPr>
        <w:rPr>
          <w:rFonts w:hint="eastAsia" w:ascii="Times New Roman" w:hAnsi="Times New Roman"/>
          <w:b w:val="0"/>
          <w:bCs w:val="0"/>
          <w:sz w:val="20"/>
          <w:szCs w:val="20"/>
          <w:lang w:val="en-US" w:eastAsia="zh-CN"/>
        </w:rPr>
      </w:pPr>
      <w:r>
        <w:rPr>
          <w:rFonts w:hint="eastAsia" w:ascii="Times New Roman" w:hAnsi="Times New Roman"/>
          <w:b w:val="0"/>
          <w:bCs w:val="0"/>
          <w:sz w:val="20"/>
          <w:szCs w:val="20"/>
          <w:lang w:val="en-US" w:eastAsia="zh-CN"/>
        </w:rPr>
        <w:t xml:space="preserve">The term </w:t>
      </w:r>
      <w:r>
        <w:rPr>
          <w:rFonts w:hint="default" w:ascii="Times New Roman" w:hAnsi="Times New Roman"/>
          <w:b w:val="0"/>
          <w:bCs w:val="0"/>
          <w:sz w:val="20"/>
          <w:szCs w:val="20"/>
          <w:lang w:val="en-US" w:eastAsia="zh-CN"/>
        </w:rPr>
        <w:t>“</w:t>
      </w:r>
      <w:r>
        <w:rPr>
          <w:rFonts w:hint="eastAsia" w:ascii="Times New Roman" w:hAnsi="Times New Roman"/>
          <w:b w:val="0"/>
          <w:bCs w:val="0"/>
          <w:sz w:val="20"/>
          <w:szCs w:val="20"/>
          <w:lang w:val="en-US" w:eastAsia="zh-CN"/>
        </w:rPr>
        <w:t>malignant immunoproliferative disease</w:t>
      </w:r>
      <w:r>
        <w:rPr>
          <w:rFonts w:hint="default" w:ascii="Times New Roman" w:hAnsi="Times New Roman"/>
          <w:b w:val="0"/>
          <w:bCs w:val="0"/>
          <w:sz w:val="20"/>
          <w:szCs w:val="20"/>
          <w:lang w:val="en-US" w:eastAsia="zh-CN"/>
        </w:rPr>
        <w:t>”</w:t>
      </w:r>
      <w:r>
        <w:rPr>
          <w:rFonts w:hint="eastAsia" w:ascii="Times New Roman" w:hAnsi="Times New Roman"/>
          <w:b w:val="0"/>
          <w:bCs w:val="0"/>
          <w:sz w:val="20"/>
          <w:szCs w:val="20"/>
          <w:lang w:val="en-US" w:eastAsia="zh-CN"/>
        </w:rPr>
        <w:t xml:space="preserve"> in FinnGen is defined as </w:t>
      </w:r>
      <w:r>
        <w:rPr>
          <w:rFonts w:hint="default" w:ascii="Times New Roman" w:hAnsi="Times New Roman"/>
          <w:b w:val="0"/>
          <w:bCs w:val="0"/>
          <w:sz w:val="20"/>
          <w:szCs w:val="20"/>
          <w:lang w:val="en-US" w:eastAsia="zh-CN"/>
        </w:rPr>
        <w:t>“</w:t>
      </w:r>
      <w:r>
        <w:rPr>
          <w:rFonts w:hint="eastAsia" w:ascii="Times New Roman" w:hAnsi="Times New Roman"/>
          <w:b w:val="0"/>
          <w:bCs w:val="0"/>
          <w:sz w:val="20"/>
          <w:szCs w:val="20"/>
          <w:lang w:val="en-US" w:eastAsia="zh-CN"/>
        </w:rPr>
        <w:t>A malignant (clonal) proliferation of B- lymphocytes or T- lymphocytes which involves the lymph nodes, bone marrow and/or extranodal sites</w:t>
      </w:r>
      <w:r>
        <w:rPr>
          <w:rFonts w:hint="default" w:ascii="Times New Roman" w:hAnsi="Times New Roman"/>
          <w:b w:val="0"/>
          <w:bCs w:val="0"/>
          <w:sz w:val="20"/>
          <w:szCs w:val="20"/>
          <w:lang w:val="en-US" w:eastAsia="zh-CN"/>
        </w:rPr>
        <w:t>”</w:t>
      </w:r>
      <w:r>
        <w:rPr>
          <w:rFonts w:hint="eastAsia" w:ascii="Times New Roman" w:hAnsi="Times New Roman"/>
          <w:b w:val="0"/>
          <w:bCs w:val="0"/>
          <w:sz w:val="20"/>
          <w:szCs w:val="20"/>
          <w:lang w:val="en-US" w:eastAsia="zh-CN"/>
        </w:rPr>
        <w:t xml:space="preserve">. </w:t>
      </w:r>
      <w:bookmarkStart w:id="3" w:name="_GoBack"/>
      <w:bookmarkEnd w:id="3"/>
    </w:p>
    <w:p>
      <w:pPr>
        <w:rPr>
          <w:rFonts w:hint="eastAsia" w:ascii="Times New Roman" w:hAnsi="Times New Roman"/>
          <w:b w:val="0"/>
          <w:bCs w:val="0"/>
          <w:sz w:val="20"/>
          <w:szCs w:val="20"/>
        </w:rPr>
      </w:pPr>
      <w:r>
        <w:rPr>
          <w:rFonts w:hint="eastAsia" w:ascii="Times New Roman" w:hAnsi="Times New Roman"/>
          <w:b/>
          <w:bCs/>
          <w:sz w:val="20"/>
          <w:szCs w:val="20"/>
        </w:rPr>
        <w:t xml:space="preserve">Supplementary Figure 2. </w:t>
      </w:r>
      <w:r>
        <w:rPr>
          <w:rFonts w:hint="eastAsia" w:ascii="Times New Roman" w:hAnsi="Times New Roman"/>
          <w:b w:val="0"/>
          <w:bCs w:val="0"/>
          <w:sz w:val="20"/>
          <w:szCs w:val="20"/>
        </w:rPr>
        <w:t>Two-sample single-variable Mendelian randomisation results of telomere length and five epigenetic age acceleration on risk of multiple haematologic diseases in the discovery cohort. (a) The association between genetically increased telomere length and odds of haematologic diseases. (b) The association between genetically predicted DNA methylation GrimAge acceleration and odds of haematologic diseases. (c) The association between genetically predicted DNA methylation Hannum age acceleration and odds of haematologic diseases. (d) The association between genetically predicted Intrinsic epigenetic age acceleration and odds of haematologic diseases. (e) The association between genetically predicted DNAm PAI-1 levels and odds of haematologic diseases. (f) The association between genetically predicted DNA methylation PhenoAge acceleration and odds of haematologic diseases.DNAm PAI-1, DNA methylation-estimated plasminogen activator inhibitor-1; nSNP, number of single nucleotide polymorphism; OR, odds ratio; 95%CI, The 95% confidence intervals.</w:t>
      </w:r>
    </w:p>
    <w:p>
      <w:pPr>
        <w:rPr>
          <w:rFonts w:hint="eastAsia" w:ascii="Times New Roman" w:hAnsi="Times New Roman" w:eastAsia="等线"/>
          <w:b w:val="0"/>
          <w:bCs w:val="0"/>
          <w:sz w:val="20"/>
          <w:szCs w:val="20"/>
          <w:lang w:eastAsia="zh-CN"/>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p>
      <w:pPr>
        <w:rPr>
          <w:rFonts w:hint="eastAsia" w:ascii="Times New Roman" w:hAnsi="Times New Roman" w:eastAsia="等线"/>
          <w:b/>
          <w:bCs/>
          <w:sz w:val="20"/>
          <w:szCs w:val="20"/>
          <w:lang w:eastAsia="zh-CN"/>
        </w:rPr>
      </w:pPr>
      <w:r>
        <w:rPr>
          <w:rFonts w:hint="eastAsia" w:ascii="Times New Roman" w:hAnsi="Times New Roman" w:eastAsia="等线"/>
          <w:b/>
          <w:bCs/>
          <w:sz w:val="20"/>
          <w:szCs w:val="20"/>
          <w:lang w:eastAsia="zh-CN"/>
        </w:rPr>
        <w:drawing>
          <wp:inline distT="0" distB="0" distL="114300" distR="114300">
            <wp:extent cx="2952115" cy="5250180"/>
            <wp:effectExtent l="0" t="0" r="635" b="7620"/>
            <wp:docPr id="10" name="图片 10" descr="单变量端粒发现队列IVW结果的森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单变量端粒发现队列IVW结果的森林图"/>
                    <pic:cNvPicPr>
                      <a:picLocks noChangeAspect="1"/>
                    </pic:cNvPicPr>
                  </pic:nvPicPr>
                  <pic:blipFill>
                    <a:blip r:embed="rId6"/>
                    <a:stretch>
                      <a:fillRect/>
                    </a:stretch>
                  </pic:blipFill>
                  <pic:spPr>
                    <a:xfrm>
                      <a:off x="0" y="0"/>
                      <a:ext cx="2952115" cy="5250180"/>
                    </a:xfrm>
                    <a:prstGeom prst="rect">
                      <a:avLst/>
                    </a:prstGeom>
                  </pic:spPr>
                </pic:pic>
              </a:graphicData>
            </a:graphic>
          </wp:inline>
        </w:drawing>
      </w:r>
      <w:r>
        <w:rPr>
          <w:rFonts w:hint="eastAsia" w:ascii="Times New Roman" w:hAnsi="Times New Roman" w:eastAsia="等线"/>
          <w:b/>
          <w:bCs/>
          <w:sz w:val="20"/>
          <w:szCs w:val="20"/>
          <w:lang w:eastAsia="zh-CN"/>
        </w:rPr>
        <w:drawing>
          <wp:inline distT="0" distB="0" distL="114300" distR="114300">
            <wp:extent cx="2952115" cy="5250180"/>
            <wp:effectExtent l="0" t="0" r="635" b="7620"/>
            <wp:docPr id="11" name="图片 11" descr="单变量Grim发现队列IVW结果的森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单变量Grim发现队列IVW结果的森林图"/>
                    <pic:cNvPicPr>
                      <a:picLocks noChangeAspect="1"/>
                    </pic:cNvPicPr>
                  </pic:nvPicPr>
                  <pic:blipFill>
                    <a:blip r:embed="rId7"/>
                    <a:stretch>
                      <a:fillRect/>
                    </a:stretch>
                  </pic:blipFill>
                  <pic:spPr>
                    <a:xfrm>
                      <a:off x="0" y="0"/>
                      <a:ext cx="2952115" cy="5250180"/>
                    </a:xfrm>
                    <a:prstGeom prst="rect">
                      <a:avLst/>
                    </a:prstGeom>
                  </pic:spPr>
                </pic:pic>
              </a:graphicData>
            </a:graphic>
          </wp:inline>
        </w:drawing>
      </w:r>
      <w:r>
        <w:rPr>
          <w:rFonts w:hint="eastAsia" w:ascii="Times New Roman" w:hAnsi="Times New Roman" w:eastAsia="等线"/>
          <w:b/>
          <w:bCs/>
          <w:sz w:val="20"/>
          <w:szCs w:val="20"/>
          <w:lang w:eastAsia="zh-CN"/>
        </w:rPr>
        <w:drawing>
          <wp:inline distT="0" distB="0" distL="114300" distR="114300">
            <wp:extent cx="2952115" cy="5250180"/>
            <wp:effectExtent l="0" t="0" r="635" b="7620"/>
            <wp:docPr id="12" name="图片 12" descr="单变量Hannum发现队列IVW结果的森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单变量Hannum发现队列IVW结果的森林图"/>
                    <pic:cNvPicPr>
                      <a:picLocks noChangeAspect="1"/>
                    </pic:cNvPicPr>
                  </pic:nvPicPr>
                  <pic:blipFill>
                    <a:blip r:embed="rId8"/>
                    <a:stretch>
                      <a:fillRect/>
                    </a:stretch>
                  </pic:blipFill>
                  <pic:spPr>
                    <a:xfrm>
                      <a:off x="0" y="0"/>
                      <a:ext cx="2952115" cy="5250180"/>
                    </a:xfrm>
                    <a:prstGeom prst="rect">
                      <a:avLst/>
                    </a:prstGeom>
                  </pic:spPr>
                </pic:pic>
              </a:graphicData>
            </a:graphic>
          </wp:inline>
        </w:drawing>
      </w:r>
    </w:p>
    <w:p>
      <w:pPr>
        <w:rPr>
          <w:rFonts w:hint="eastAsia" w:ascii="Times New Roman" w:hAnsi="Times New Roman" w:eastAsia="等线"/>
          <w:b/>
          <w:bCs/>
          <w:sz w:val="20"/>
          <w:szCs w:val="20"/>
          <w:lang w:eastAsia="zh-CN"/>
        </w:rPr>
      </w:pPr>
      <w:r>
        <w:rPr>
          <w:rFonts w:hint="eastAsia" w:ascii="Times New Roman" w:hAnsi="Times New Roman" w:eastAsia="等线"/>
          <w:b/>
          <w:bCs/>
          <w:sz w:val="20"/>
          <w:szCs w:val="20"/>
          <w:lang w:eastAsia="zh-CN"/>
        </w:rPr>
        <w:drawing>
          <wp:inline distT="0" distB="0" distL="114300" distR="114300">
            <wp:extent cx="2952115" cy="5250180"/>
            <wp:effectExtent l="0" t="0" r="635" b="7620"/>
            <wp:docPr id="13" name="图片 13" descr="单变量Intrinsic发现队列IVW结果的森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单变量Intrinsic发现队列IVW结果的森林图"/>
                    <pic:cNvPicPr>
                      <a:picLocks noChangeAspect="1"/>
                    </pic:cNvPicPr>
                  </pic:nvPicPr>
                  <pic:blipFill>
                    <a:blip r:embed="rId9"/>
                    <a:stretch>
                      <a:fillRect/>
                    </a:stretch>
                  </pic:blipFill>
                  <pic:spPr>
                    <a:xfrm>
                      <a:off x="0" y="0"/>
                      <a:ext cx="2952115" cy="5250180"/>
                    </a:xfrm>
                    <a:prstGeom prst="rect">
                      <a:avLst/>
                    </a:prstGeom>
                  </pic:spPr>
                </pic:pic>
              </a:graphicData>
            </a:graphic>
          </wp:inline>
        </w:drawing>
      </w:r>
      <w:r>
        <w:rPr>
          <w:rFonts w:hint="eastAsia" w:ascii="Times New Roman" w:hAnsi="Times New Roman" w:eastAsia="等线"/>
          <w:b/>
          <w:bCs/>
          <w:sz w:val="20"/>
          <w:szCs w:val="20"/>
          <w:lang w:eastAsia="zh-CN"/>
        </w:rPr>
        <w:drawing>
          <wp:inline distT="0" distB="0" distL="114300" distR="114300">
            <wp:extent cx="2952115" cy="5250180"/>
            <wp:effectExtent l="0" t="0" r="635" b="7620"/>
            <wp:docPr id="14" name="图片 14" descr="单变量DNAmPAI-1发现队列IVW结果的森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单变量DNAmPAI-1发现队列IVW结果的森林图"/>
                    <pic:cNvPicPr>
                      <a:picLocks noChangeAspect="1"/>
                    </pic:cNvPicPr>
                  </pic:nvPicPr>
                  <pic:blipFill>
                    <a:blip r:embed="rId10"/>
                    <a:stretch>
                      <a:fillRect/>
                    </a:stretch>
                  </pic:blipFill>
                  <pic:spPr>
                    <a:xfrm>
                      <a:off x="0" y="0"/>
                      <a:ext cx="2952115" cy="5250180"/>
                    </a:xfrm>
                    <a:prstGeom prst="rect">
                      <a:avLst/>
                    </a:prstGeom>
                  </pic:spPr>
                </pic:pic>
              </a:graphicData>
            </a:graphic>
          </wp:inline>
        </w:drawing>
      </w:r>
      <w:r>
        <w:rPr>
          <w:rFonts w:hint="eastAsia" w:ascii="Times New Roman" w:hAnsi="Times New Roman" w:eastAsia="等线"/>
          <w:b/>
          <w:bCs/>
          <w:sz w:val="20"/>
          <w:szCs w:val="20"/>
          <w:lang w:eastAsia="zh-CN"/>
        </w:rPr>
        <w:drawing>
          <wp:inline distT="0" distB="0" distL="114300" distR="114300">
            <wp:extent cx="2952115" cy="5250180"/>
            <wp:effectExtent l="0" t="0" r="635" b="7620"/>
            <wp:docPr id="15" name="图片 15" descr="单变量Pheno发现队列IVW结果的森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单变量Pheno发现队列IVW结果的森林图"/>
                    <pic:cNvPicPr>
                      <a:picLocks noChangeAspect="1"/>
                    </pic:cNvPicPr>
                  </pic:nvPicPr>
                  <pic:blipFill>
                    <a:blip r:embed="rId11"/>
                    <a:stretch>
                      <a:fillRect/>
                    </a:stretch>
                  </pic:blipFill>
                  <pic:spPr>
                    <a:xfrm>
                      <a:off x="0" y="0"/>
                      <a:ext cx="2952115" cy="5250180"/>
                    </a:xfrm>
                    <a:prstGeom prst="rect">
                      <a:avLst/>
                    </a:prstGeom>
                  </pic:spPr>
                </pic:pic>
              </a:graphicData>
            </a:graphic>
          </wp:inline>
        </w:drawing>
      </w:r>
    </w:p>
    <w:p>
      <w:pPr>
        <w:rPr>
          <w:rFonts w:ascii="Times New Roman" w:hAnsi="Times New Roman"/>
          <w:b/>
          <w:bCs/>
          <w:sz w:val="20"/>
          <w:szCs w:val="20"/>
        </w:rPr>
      </w:pPr>
      <w:r>
        <w:rPr>
          <w:rFonts w:ascii="Times New Roman" w:hAnsi="Times New Roman"/>
          <w:b/>
          <w:bCs/>
          <w:sz w:val="20"/>
          <w:szCs w:val="20"/>
        </w:rPr>
        <w:t>Supplementary</w:t>
      </w:r>
      <w:r>
        <w:rPr>
          <w:rFonts w:ascii="Times New Roman" w:hAnsi="Times New Roman"/>
          <w:b/>
          <w:bCs/>
          <w:color w:val="000000"/>
          <w:sz w:val="20"/>
          <w:szCs w:val="20"/>
        </w:rPr>
        <w:t xml:space="preserve"> </w:t>
      </w:r>
      <w:r>
        <w:rPr>
          <w:rFonts w:hint="eastAsia" w:ascii="Times New Roman" w:hAnsi="Times New Roman"/>
          <w:b/>
          <w:bCs/>
          <w:color w:val="231F20"/>
          <w:sz w:val="20"/>
          <w:szCs w:val="20"/>
        </w:rPr>
        <w:t>F</w:t>
      </w:r>
      <w:r>
        <w:rPr>
          <w:rFonts w:ascii="Times New Roman" w:hAnsi="Times New Roman"/>
          <w:b/>
          <w:bCs/>
          <w:color w:val="231F20"/>
          <w:sz w:val="20"/>
          <w:szCs w:val="20"/>
        </w:rPr>
        <w:t xml:space="preserve">igure </w:t>
      </w:r>
      <w:r>
        <w:rPr>
          <w:rFonts w:hint="eastAsia" w:ascii="Times New Roman" w:hAnsi="Times New Roman"/>
          <w:b/>
          <w:bCs/>
          <w:color w:val="231F20"/>
          <w:sz w:val="20"/>
          <w:szCs w:val="20"/>
          <w:lang w:val="en-US" w:eastAsia="zh-CN"/>
        </w:rPr>
        <w:t>3</w:t>
      </w:r>
      <w:r>
        <w:rPr>
          <w:rFonts w:hint="eastAsia" w:ascii="Times New Roman" w:hAnsi="Times New Roman"/>
          <w:b/>
          <w:bCs/>
          <w:color w:val="231F20"/>
          <w:sz w:val="20"/>
          <w:szCs w:val="20"/>
        </w:rPr>
        <w:t>.</w:t>
      </w:r>
      <w:r>
        <w:rPr>
          <w:rFonts w:hint="eastAsia" w:ascii="Times New Roman" w:hAnsi="Times New Roman"/>
          <w:b/>
          <w:bCs/>
          <w:color w:val="231F20"/>
          <w:sz w:val="20"/>
          <w:szCs w:val="20"/>
          <w:lang w:val="en-US" w:eastAsia="zh-CN"/>
        </w:rPr>
        <w:t xml:space="preserve"> </w:t>
      </w:r>
      <w:r>
        <w:rPr>
          <w:rFonts w:hint="eastAsia" w:ascii="Times New Roman" w:hAnsi="Times New Roman"/>
          <w:b w:val="0"/>
          <w:bCs w:val="0"/>
          <w:color w:val="231F20"/>
          <w:sz w:val="20"/>
          <w:szCs w:val="20"/>
          <w:lang w:val="en-US" w:eastAsia="zh-CN"/>
        </w:rPr>
        <w:t>Scatterplot of associations of genetic risk of telomere length on risk of 10 haematological malignancies.</w:t>
      </w:r>
    </w:p>
    <w:p>
      <w:pPr>
        <w:rPr>
          <w:rFonts w:hint="eastAsia" w:ascii="Times New Roman" w:hAnsi="Times New Roman"/>
          <w:b/>
          <w:bCs/>
          <w:color w:val="231F20"/>
          <w:sz w:val="20"/>
          <w:szCs w:val="20"/>
          <w:lang w:val="en-US" w:eastAsia="zh-CN"/>
        </w:rPr>
      </w:pPr>
      <w:r>
        <w:rPr>
          <w:rFonts w:hint="eastAsia" w:ascii="Times New Roman" w:hAnsi="Times New Roman"/>
          <w:b/>
          <w:bCs/>
          <w:color w:val="231F20"/>
          <w:sz w:val="20"/>
          <w:szCs w:val="20"/>
          <w:lang w:val="en-US" w:eastAsia="zh-CN"/>
        </w:rPr>
        <w:drawing>
          <wp:inline distT="0" distB="0" distL="114300" distR="114300">
            <wp:extent cx="4454525" cy="4034790"/>
            <wp:effectExtent l="0" t="0" r="3175" b="3810"/>
            <wp:docPr id="46" name="图片 46" descr="Lymphoid leukaemia散点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Lymphoid leukaemia散点图_00"/>
                    <pic:cNvPicPr>
                      <a:picLocks noChangeAspect="1"/>
                    </pic:cNvPicPr>
                  </pic:nvPicPr>
                  <pic:blipFill>
                    <a:blip r:embed="rId12"/>
                    <a:stretch>
                      <a:fillRect/>
                    </a:stretch>
                  </pic:blipFill>
                  <pic:spPr>
                    <a:xfrm>
                      <a:off x="0" y="0"/>
                      <a:ext cx="4454525" cy="4034790"/>
                    </a:xfrm>
                    <a:prstGeom prst="rect">
                      <a:avLst/>
                    </a:prstGeom>
                  </pic:spPr>
                </pic:pic>
              </a:graphicData>
            </a:graphic>
          </wp:inline>
        </w:drawing>
      </w:r>
      <w:r>
        <w:rPr>
          <w:rFonts w:hint="eastAsia" w:ascii="Times New Roman" w:hAnsi="Times New Roman"/>
          <w:b/>
          <w:bCs/>
          <w:color w:val="231F20"/>
          <w:sz w:val="20"/>
          <w:szCs w:val="20"/>
          <w:lang w:val="en-US" w:eastAsia="zh-CN"/>
        </w:rPr>
        <w:drawing>
          <wp:inline distT="0" distB="0" distL="114300" distR="114300">
            <wp:extent cx="4311650" cy="3905885"/>
            <wp:effectExtent l="0" t="0" r="3175" b="8890"/>
            <wp:docPr id="47" name="图片 47" descr="ALL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ALL_00"/>
                    <pic:cNvPicPr>
                      <a:picLocks noChangeAspect="1"/>
                    </pic:cNvPicPr>
                  </pic:nvPicPr>
                  <pic:blipFill>
                    <a:blip r:embed="rId13"/>
                    <a:stretch>
                      <a:fillRect/>
                    </a:stretch>
                  </pic:blipFill>
                  <pic:spPr>
                    <a:xfrm>
                      <a:off x="0" y="0"/>
                      <a:ext cx="4311650" cy="3905885"/>
                    </a:xfrm>
                    <a:prstGeom prst="rect">
                      <a:avLst/>
                    </a:prstGeom>
                  </pic:spPr>
                </pic:pic>
              </a:graphicData>
            </a:graphic>
          </wp:inline>
        </w:drawing>
      </w: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r>
        <w:rPr>
          <w:rFonts w:hint="eastAsia" w:ascii="Times New Roman" w:hAnsi="Times New Roman"/>
          <w:b/>
          <w:bCs/>
          <w:color w:val="231F20"/>
          <w:sz w:val="20"/>
          <w:szCs w:val="20"/>
          <w:lang w:val="en-US" w:eastAsia="zh-CN"/>
        </w:rPr>
        <w:drawing>
          <wp:inline distT="0" distB="0" distL="114300" distR="114300">
            <wp:extent cx="4353560" cy="3942080"/>
            <wp:effectExtent l="0" t="0" r="8890" b="1270"/>
            <wp:docPr id="48" name="图片 48" descr="Chronic lymphocytic leukaemia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Chronic lymphocytic leukaemia_00"/>
                    <pic:cNvPicPr>
                      <a:picLocks noChangeAspect="1"/>
                    </pic:cNvPicPr>
                  </pic:nvPicPr>
                  <pic:blipFill>
                    <a:blip r:embed="rId14"/>
                    <a:stretch>
                      <a:fillRect/>
                    </a:stretch>
                  </pic:blipFill>
                  <pic:spPr>
                    <a:xfrm>
                      <a:off x="0" y="0"/>
                      <a:ext cx="4353560" cy="3942080"/>
                    </a:xfrm>
                    <a:prstGeom prst="rect">
                      <a:avLst/>
                    </a:prstGeom>
                  </pic:spPr>
                </pic:pic>
              </a:graphicData>
            </a:graphic>
          </wp:inline>
        </w:drawing>
      </w:r>
      <w:r>
        <w:rPr>
          <w:rFonts w:hint="eastAsia" w:ascii="Times New Roman" w:hAnsi="Times New Roman"/>
          <w:b/>
          <w:bCs/>
          <w:color w:val="231F20"/>
          <w:sz w:val="20"/>
          <w:szCs w:val="20"/>
          <w:lang w:val="en-US" w:eastAsia="zh-CN"/>
        </w:rPr>
        <w:drawing>
          <wp:inline distT="0" distB="0" distL="114300" distR="114300">
            <wp:extent cx="4479925" cy="4056380"/>
            <wp:effectExtent l="0" t="0" r="6350" b="1270"/>
            <wp:docPr id="49" name="图片 49" descr="Multiple myeloma and malignant plasma cell neoplasms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Multiple myeloma and malignant plasma cell neoplasms_00"/>
                    <pic:cNvPicPr>
                      <a:picLocks noChangeAspect="1"/>
                    </pic:cNvPicPr>
                  </pic:nvPicPr>
                  <pic:blipFill>
                    <a:blip r:embed="rId15"/>
                    <a:stretch>
                      <a:fillRect/>
                    </a:stretch>
                  </pic:blipFill>
                  <pic:spPr>
                    <a:xfrm>
                      <a:off x="0" y="0"/>
                      <a:ext cx="4479925" cy="4056380"/>
                    </a:xfrm>
                    <a:prstGeom prst="rect">
                      <a:avLst/>
                    </a:prstGeom>
                  </pic:spPr>
                </pic:pic>
              </a:graphicData>
            </a:graphic>
          </wp:inline>
        </w:drawing>
      </w: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r>
        <w:rPr>
          <w:rFonts w:hint="eastAsia" w:ascii="Times New Roman" w:hAnsi="Times New Roman"/>
          <w:b/>
          <w:bCs/>
          <w:color w:val="231F20"/>
          <w:sz w:val="20"/>
          <w:szCs w:val="20"/>
          <w:lang w:val="en-US" w:eastAsia="zh-CN"/>
        </w:rPr>
        <w:drawing>
          <wp:inline distT="0" distB="0" distL="114300" distR="114300">
            <wp:extent cx="4130040" cy="3740150"/>
            <wp:effectExtent l="0" t="0" r="3810" b="3175"/>
            <wp:docPr id="50" name="图片 50" descr="ET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ET_00"/>
                    <pic:cNvPicPr>
                      <a:picLocks noChangeAspect="1"/>
                    </pic:cNvPicPr>
                  </pic:nvPicPr>
                  <pic:blipFill>
                    <a:blip r:embed="rId16"/>
                    <a:stretch>
                      <a:fillRect/>
                    </a:stretch>
                  </pic:blipFill>
                  <pic:spPr>
                    <a:xfrm>
                      <a:off x="0" y="0"/>
                      <a:ext cx="4130040" cy="3740150"/>
                    </a:xfrm>
                    <a:prstGeom prst="rect">
                      <a:avLst/>
                    </a:prstGeom>
                  </pic:spPr>
                </pic:pic>
              </a:graphicData>
            </a:graphic>
          </wp:inline>
        </w:drawing>
      </w:r>
      <w:r>
        <w:rPr>
          <w:rFonts w:hint="eastAsia" w:ascii="Times New Roman" w:hAnsi="Times New Roman"/>
          <w:b/>
          <w:bCs/>
          <w:color w:val="231F20"/>
          <w:sz w:val="20"/>
          <w:szCs w:val="20"/>
          <w:lang w:val="en-US" w:eastAsia="zh-CN"/>
        </w:rPr>
        <w:drawing>
          <wp:inline distT="0" distB="0" distL="114300" distR="114300">
            <wp:extent cx="4131945" cy="3742055"/>
            <wp:effectExtent l="0" t="0" r="1905" b="1270"/>
            <wp:docPr id="51" name="图片 51" descr="HL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HL_00"/>
                    <pic:cNvPicPr>
                      <a:picLocks noChangeAspect="1"/>
                    </pic:cNvPicPr>
                  </pic:nvPicPr>
                  <pic:blipFill>
                    <a:blip r:embed="rId17"/>
                    <a:stretch>
                      <a:fillRect/>
                    </a:stretch>
                  </pic:blipFill>
                  <pic:spPr>
                    <a:xfrm>
                      <a:off x="0" y="0"/>
                      <a:ext cx="4131945" cy="3742055"/>
                    </a:xfrm>
                    <a:prstGeom prst="rect">
                      <a:avLst/>
                    </a:prstGeom>
                  </pic:spPr>
                </pic:pic>
              </a:graphicData>
            </a:graphic>
          </wp:inline>
        </w:drawing>
      </w: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r>
        <w:rPr>
          <w:rFonts w:hint="eastAsia" w:ascii="Times New Roman" w:hAnsi="Times New Roman"/>
          <w:b/>
          <w:bCs/>
          <w:color w:val="231F20"/>
          <w:sz w:val="20"/>
          <w:szCs w:val="20"/>
          <w:lang w:val="en-US" w:eastAsia="zh-CN"/>
        </w:rPr>
        <w:drawing>
          <wp:inline distT="0" distB="0" distL="114300" distR="114300">
            <wp:extent cx="4400550" cy="3984625"/>
            <wp:effectExtent l="0" t="0" r="0" b="6350"/>
            <wp:docPr id="52" name="图片 52" descr="Malignant immunoproliferative diseases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Malignant immunoproliferative diseases_00"/>
                    <pic:cNvPicPr>
                      <a:picLocks noChangeAspect="1"/>
                    </pic:cNvPicPr>
                  </pic:nvPicPr>
                  <pic:blipFill>
                    <a:blip r:embed="rId18"/>
                    <a:stretch>
                      <a:fillRect/>
                    </a:stretch>
                  </pic:blipFill>
                  <pic:spPr>
                    <a:xfrm>
                      <a:off x="0" y="0"/>
                      <a:ext cx="4400550" cy="3984625"/>
                    </a:xfrm>
                    <a:prstGeom prst="rect">
                      <a:avLst/>
                    </a:prstGeom>
                  </pic:spPr>
                </pic:pic>
              </a:graphicData>
            </a:graphic>
          </wp:inline>
        </w:drawing>
      </w:r>
      <w:r>
        <w:rPr>
          <w:rFonts w:hint="eastAsia" w:ascii="Times New Roman" w:hAnsi="Times New Roman"/>
          <w:b/>
          <w:bCs/>
          <w:color w:val="231F20"/>
          <w:sz w:val="20"/>
          <w:szCs w:val="20"/>
          <w:lang w:val="en-US" w:eastAsia="zh-CN"/>
        </w:rPr>
        <w:drawing>
          <wp:inline distT="0" distB="0" distL="114300" distR="114300">
            <wp:extent cx="4406900" cy="3990340"/>
            <wp:effectExtent l="0" t="0" r="3175" b="635"/>
            <wp:docPr id="53" name="图片 53" descr="NFL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NFL_00"/>
                    <pic:cNvPicPr>
                      <a:picLocks noChangeAspect="1"/>
                    </pic:cNvPicPr>
                  </pic:nvPicPr>
                  <pic:blipFill>
                    <a:blip r:embed="rId19"/>
                    <a:stretch>
                      <a:fillRect/>
                    </a:stretch>
                  </pic:blipFill>
                  <pic:spPr>
                    <a:xfrm>
                      <a:off x="0" y="0"/>
                      <a:ext cx="4406900" cy="3990340"/>
                    </a:xfrm>
                    <a:prstGeom prst="rect">
                      <a:avLst/>
                    </a:prstGeom>
                  </pic:spPr>
                </pic:pic>
              </a:graphicData>
            </a:graphic>
          </wp:inline>
        </w:drawing>
      </w: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r>
        <w:rPr>
          <w:rFonts w:hint="eastAsia" w:ascii="Times New Roman" w:hAnsi="Times New Roman"/>
          <w:b/>
          <w:bCs/>
          <w:color w:val="231F20"/>
          <w:sz w:val="20"/>
          <w:szCs w:val="20"/>
          <w:lang w:val="en-US" w:eastAsia="zh-CN"/>
        </w:rPr>
        <w:drawing>
          <wp:inline distT="0" distB="0" distL="114300" distR="114300">
            <wp:extent cx="4441190" cy="4021455"/>
            <wp:effectExtent l="0" t="0" r="6985" b="7620"/>
            <wp:docPr id="54" name="图片 54" descr="NHL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NHL_00"/>
                    <pic:cNvPicPr>
                      <a:picLocks noChangeAspect="1"/>
                    </pic:cNvPicPr>
                  </pic:nvPicPr>
                  <pic:blipFill>
                    <a:blip r:embed="rId20"/>
                    <a:stretch>
                      <a:fillRect/>
                    </a:stretch>
                  </pic:blipFill>
                  <pic:spPr>
                    <a:xfrm>
                      <a:off x="0" y="0"/>
                      <a:ext cx="4441190" cy="4021455"/>
                    </a:xfrm>
                    <a:prstGeom prst="rect">
                      <a:avLst/>
                    </a:prstGeom>
                  </pic:spPr>
                </pic:pic>
              </a:graphicData>
            </a:graphic>
          </wp:inline>
        </w:drawing>
      </w:r>
      <w:r>
        <w:rPr>
          <w:rFonts w:hint="eastAsia" w:ascii="Times New Roman" w:hAnsi="Times New Roman"/>
          <w:b/>
          <w:bCs/>
          <w:color w:val="231F20"/>
          <w:sz w:val="20"/>
          <w:szCs w:val="20"/>
          <w:lang w:val="en-US" w:eastAsia="zh-CN"/>
        </w:rPr>
        <w:drawing>
          <wp:inline distT="0" distB="0" distL="114300" distR="114300">
            <wp:extent cx="4394200" cy="3979545"/>
            <wp:effectExtent l="0" t="0" r="6350" b="1905"/>
            <wp:docPr id="55" name="图片 55" descr="Other and unspecified types of non-Hodgkin lymphoma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Other and unspecified types of non-Hodgkin lymphoma_00"/>
                    <pic:cNvPicPr>
                      <a:picLocks noChangeAspect="1"/>
                    </pic:cNvPicPr>
                  </pic:nvPicPr>
                  <pic:blipFill>
                    <a:blip r:embed="rId21"/>
                    <a:stretch>
                      <a:fillRect/>
                    </a:stretch>
                  </pic:blipFill>
                  <pic:spPr>
                    <a:xfrm>
                      <a:off x="0" y="0"/>
                      <a:ext cx="4394200" cy="3979545"/>
                    </a:xfrm>
                    <a:prstGeom prst="rect">
                      <a:avLst/>
                    </a:prstGeom>
                  </pic:spPr>
                </pic:pic>
              </a:graphicData>
            </a:graphic>
          </wp:inline>
        </w:drawing>
      </w: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r>
        <w:rPr>
          <w:rFonts w:hint="eastAsia" w:ascii="Times New Roman" w:hAnsi="Times New Roman"/>
          <w:b/>
          <w:bCs/>
          <w:color w:val="231F20"/>
          <w:sz w:val="20"/>
          <w:szCs w:val="20"/>
          <w:lang w:val="en-US" w:eastAsia="zh-CN"/>
        </w:rPr>
        <w:drawing>
          <wp:inline distT="0" distB="0" distL="114300" distR="114300">
            <wp:extent cx="4305300" cy="3898900"/>
            <wp:effectExtent l="0" t="0" r="0" b="6350"/>
            <wp:docPr id="56" name="图片 56" descr="验证Leukaemia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验证Leukaemia_00"/>
                    <pic:cNvPicPr>
                      <a:picLocks noChangeAspect="1"/>
                    </pic:cNvPicPr>
                  </pic:nvPicPr>
                  <pic:blipFill>
                    <a:blip r:embed="rId22"/>
                    <a:stretch>
                      <a:fillRect/>
                    </a:stretch>
                  </pic:blipFill>
                  <pic:spPr>
                    <a:xfrm>
                      <a:off x="0" y="0"/>
                      <a:ext cx="4305300" cy="3898900"/>
                    </a:xfrm>
                    <a:prstGeom prst="rect">
                      <a:avLst/>
                    </a:prstGeom>
                  </pic:spPr>
                </pic:pic>
              </a:graphicData>
            </a:graphic>
          </wp:inline>
        </w:drawing>
      </w:r>
      <w:r>
        <w:rPr>
          <w:rFonts w:hint="eastAsia" w:ascii="Times New Roman" w:hAnsi="Times New Roman"/>
          <w:b/>
          <w:bCs/>
          <w:color w:val="231F20"/>
          <w:sz w:val="20"/>
          <w:szCs w:val="20"/>
          <w:lang w:val="en-US" w:eastAsia="zh-CN"/>
        </w:rPr>
        <w:drawing>
          <wp:inline distT="0" distB="0" distL="114300" distR="114300">
            <wp:extent cx="4468495" cy="4046220"/>
            <wp:effectExtent l="0" t="0" r="8255" b="1905"/>
            <wp:docPr id="57" name="图片 57" descr="验证lymphoid leukem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验证lymphoid leukemia"/>
                    <pic:cNvPicPr>
                      <a:picLocks noChangeAspect="1"/>
                    </pic:cNvPicPr>
                  </pic:nvPicPr>
                  <pic:blipFill>
                    <a:blip r:embed="rId23"/>
                    <a:stretch>
                      <a:fillRect/>
                    </a:stretch>
                  </pic:blipFill>
                  <pic:spPr>
                    <a:xfrm>
                      <a:off x="0" y="0"/>
                      <a:ext cx="4468495" cy="4046220"/>
                    </a:xfrm>
                    <a:prstGeom prst="rect">
                      <a:avLst/>
                    </a:prstGeom>
                  </pic:spPr>
                </pic:pic>
              </a:graphicData>
            </a:graphic>
          </wp:inline>
        </w:drawing>
      </w: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r>
        <w:rPr>
          <w:rFonts w:hint="eastAsia" w:ascii="Times New Roman" w:hAnsi="Times New Roman"/>
          <w:b/>
          <w:bCs/>
          <w:color w:val="231F20"/>
          <w:sz w:val="20"/>
          <w:szCs w:val="20"/>
          <w:lang w:val="en-US" w:eastAsia="zh-CN"/>
        </w:rPr>
        <w:drawing>
          <wp:inline distT="0" distB="0" distL="114300" distR="114300">
            <wp:extent cx="4217035" cy="3818255"/>
            <wp:effectExtent l="0" t="0" r="2540" b="1270"/>
            <wp:docPr id="58" name="图片 58" descr="验证lymphoma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验证lymphoma_00"/>
                    <pic:cNvPicPr>
                      <a:picLocks noChangeAspect="1"/>
                    </pic:cNvPicPr>
                  </pic:nvPicPr>
                  <pic:blipFill>
                    <a:blip r:embed="rId24"/>
                    <a:stretch>
                      <a:fillRect/>
                    </a:stretch>
                  </pic:blipFill>
                  <pic:spPr>
                    <a:xfrm>
                      <a:off x="0" y="0"/>
                      <a:ext cx="4217035" cy="3818255"/>
                    </a:xfrm>
                    <a:prstGeom prst="rect">
                      <a:avLst/>
                    </a:prstGeom>
                  </pic:spPr>
                </pic:pic>
              </a:graphicData>
            </a:graphic>
          </wp:inline>
        </w:drawing>
      </w:r>
      <w:r>
        <w:rPr>
          <w:rFonts w:hint="eastAsia" w:ascii="Times New Roman" w:hAnsi="Times New Roman"/>
          <w:b/>
          <w:bCs/>
          <w:color w:val="231F20"/>
          <w:sz w:val="20"/>
          <w:szCs w:val="20"/>
          <w:lang w:val="en-US" w:eastAsia="zh-CN"/>
        </w:rPr>
        <w:drawing>
          <wp:inline distT="0" distB="0" distL="114300" distR="114300">
            <wp:extent cx="4452620" cy="4032250"/>
            <wp:effectExtent l="0" t="0" r="5080" b="6350"/>
            <wp:docPr id="59" name="图片 59" descr="验证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验证MM"/>
                    <pic:cNvPicPr>
                      <a:picLocks noChangeAspect="1"/>
                    </pic:cNvPicPr>
                  </pic:nvPicPr>
                  <pic:blipFill>
                    <a:blip r:embed="rId25"/>
                    <a:stretch>
                      <a:fillRect/>
                    </a:stretch>
                  </pic:blipFill>
                  <pic:spPr>
                    <a:xfrm>
                      <a:off x="0" y="0"/>
                      <a:ext cx="4452620" cy="4032250"/>
                    </a:xfrm>
                    <a:prstGeom prst="rect">
                      <a:avLst/>
                    </a:prstGeom>
                  </pic:spPr>
                </pic:pic>
              </a:graphicData>
            </a:graphic>
          </wp:inline>
        </w:drawing>
      </w: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b/>
          <w:bCs/>
          <w:color w:val="231F20"/>
          <w:sz w:val="20"/>
          <w:szCs w:val="20"/>
          <w:lang w:val="en-US" w:eastAsia="zh-CN"/>
        </w:rPr>
      </w:pPr>
    </w:p>
    <w:p>
      <w:pPr>
        <w:rPr>
          <w:rFonts w:hint="eastAsia" w:ascii="Times New Roman" w:hAnsi="Times New Roman" w:eastAsia="等线"/>
          <w:b/>
          <w:bCs/>
          <w:sz w:val="20"/>
          <w:szCs w:val="20"/>
          <w:lang w:eastAsia="zh-CN"/>
        </w:rPr>
      </w:pPr>
    </w:p>
    <w:p>
      <w:pPr>
        <w:rPr>
          <w:rFonts w:hint="eastAsia" w:ascii="Times New Roman" w:hAnsi="Times New Roman"/>
          <w:b/>
          <w:bCs/>
          <w:sz w:val="20"/>
          <w:szCs w:val="20"/>
        </w:rPr>
      </w:pPr>
      <w:r>
        <w:rPr>
          <w:rFonts w:ascii="Times New Roman" w:hAnsi="Times New Roman"/>
          <w:b/>
          <w:bCs/>
          <w:sz w:val="20"/>
          <w:szCs w:val="20"/>
        </w:rPr>
        <w:t xml:space="preserve">Supplementary </w:t>
      </w:r>
      <w:r>
        <w:rPr>
          <w:rFonts w:hint="eastAsia" w:ascii="Times New Roman" w:hAnsi="Times New Roman"/>
          <w:b/>
          <w:bCs/>
          <w:sz w:val="20"/>
          <w:szCs w:val="20"/>
          <w:lang w:val="en-US" w:eastAsia="zh-CN"/>
        </w:rPr>
        <w:t xml:space="preserve">Figure 4. </w:t>
      </w:r>
      <w:r>
        <w:rPr>
          <w:rFonts w:hint="eastAsia" w:ascii="Times New Roman" w:hAnsi="Times New Roman"/>
          <w:b w:val="0"/>
          <w:bCs w:val="0"/>
          <w:sz w:val="20"/>
          <w:szCs w:val="20"/>
          <w:lang w:val="en-US" w:eastAsia="zh-CN"/>
        </w:rPr>
        <w:t>Two-sample single-variable MR results of telomere length and five epigenetic age acceleration on risk of multiple haematologic diseases in the validation cohort.</w:t>
      </w:r>
    </w:p>
    <w:p>
      <w:pPr>
        <w:rPr>
          <w:rFonts w:hint="eastAsia" w:ascii="Times New Roman" w:hAnsi="Times New Roman" w:eastAsia="等线"/>
          <w:b/>
          <w:bCs/>
          <w:sz w:val="20"/>
          <w:szCs w:val="20"/>
          <w:lang w:eastAsia="zh-CN"/>
        </w:rPr>
      </w:pPr>
      <w:r>
        <w:rPr>
          <w:rFonts w:hint="eastAsia" w:ascii="Times New Roman" w:hAnsi="Times New Roman" w:eastAsia="等线"/>
          <w:b/>
          <w:bCs/>
          <w:sz w:val="20"/>
          <w:szCs w:val="20"/>
          <w:lang w:eastAsia="zh-CN"/>
        </w:rPr>
        <w:drawing>
          <wp:inline distT="0" distB="0" distL="114300" distR="114300">
            <wp:extent cx="2928620" cy="4661535"/>
            <wp:effectExtent l="0" t="0" r="5080" b="5715"/>
            <wp:docPr id="3" name="图片 3" descr="单变量6个因素的验证队列IVW结果汇总森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单变量6个因素的验证队列IVW结果汇总森林图"/>
                    <pic:cNvPicPr>
                      <a:picLocks noChangeAspect="1"/>
                    </pic:cNvPicPr>
                  </pic:nvPicPr>
                  <pic:blipFill>
                    <a:blip r:embed="rId26"/>
                    <a:stretch>
                      <a:fillRect/>
                    </a:stretch>
                  </pic:blipFill>
                  <pic:spPr>
                    <a:xfrm>
                      <a:off x="0" y="0"/>
                      <a:ext cx="2928620" cy="4661535"/>
                    </a:xfrm>
                    <a:prstGeom prst="rect">
                      <a:avLst/>
                    </a:prstGeom>
                  </pic:spPr>
                </pic:pic>
              </a:graphicData>
            </a:graphic>
          </wp:inline>
        </w:drawing>
      </w:r>
    </w:p>
    <w:p>
      <w:pPr>
        <w:rPr>
          <w:rFonts w:hint="eastAsia" w:ascii="Times New Roman" w:hAnsi="Times New Roman"/>
          <w:b w:val="0"/>
          <w:bCs w:val="0"/>
          <w:color w:val="000000" w:themeColor="text1"/>
          <w:sz w:val="20"/>
          <w:szCs w:val="20"/>
          <w:lang w:val="en-US" w:eastAsia="zh-CN"/>
          <w14:textFill>
            <w14:solidFill>
              <w14:schemeClr w14:val="tx1"/>
            </w14:solidFill>
          </w14:textFill>
        </w:rPr>
      </w:pPr>
      <w:r>
        <w:rPr>
          <w:rFonts w:hint="eastAsia" w:ascii="Times New Roman" w:hAnsi="Times New Roman"/>
          <w:b/>
          <w:bCs/>
          <w:color w:val="000000" w:themeColor="text1"/>
          <w:sz w:val="20"/>
          <w:szCs w:val="20"/>
          <w:lang w:val="en-US" w:eastAsia="zh-CN"/>
          <w14:textFill>
            <w14:solidFill>
              <w14:schemeClr w14:val="tx1"/>
            </w14:solidFill>
          </w14:textFill>
        </w:rPr>
        <w:t xml:space="preserve">Supplementary Figure 5. </w:t>
      </w:r>
      <w:r>
        <w:rPr>
          <w:rFonts w:hint="eastAsia" w:ascii="Times New Roman" w:hAnsi="Times New Roman"/>
          <w:b w:val="0"/>
          <w:bCs w:val="0"/>
          <w:color w:val="000000" w:themeColor="text1"/>
          <w:sz w:val="20"/>
          <w:szCs w:val="20"/>
          <w:lang w:val="en-US" w:eastAsia="zh-CN"/>
          <w14:textFill>
            <w14:solidFill>
              <w14:schemeClr w14:val="tx1"/>
            </w14:solidFill>
          </w14:textFill>
        </w:rPr>
        <w:t>Multivariable Mendelian randomisation results of telomere length and five epigenetic age acceleration on risk of multiple haematologic diseases in the validation cohort. DNAm PAI-1, DNA methylation-estimated plasminogen activator inhibitor-1; nSNP, number of single nucleotide polymorphism; OR, odds ratio; 95%CI, The 95% confidence intervals.</w:t>
      </w:r>
    </w:p>
    <w:p>
      <w:pPr>
        <w:rPr>
          <w:rFonts w:hint="eastAsia" w:ascii="Times New Roman" w:hAnsi="Times New Roman"/>
          <w:b w:val="0"/>
          <w:bCs w:val="0"/>
          <w:color w:val="000000" w:themeColor="text1"/>
          <w:sz w:val="20"/>
          <w:szCs w:val="20"/>
          <w:lang w:val="en-US" w:eastAsia="zh-CN"/>
          <w14:textFill>
            <w14:solidFill>
              <w14:schemeClr w14:val="tx1"/>
            </w14:solidFill>
          </w14:textFill>
        </w:rPr>
      </w:pPr>
      <w:r>
        <w:rPr>
          <w:rFonts w:hint="eastAsia" w:ascii="Times New Roman" w:hAnsi="Times New Roman"/>
          <w:color w:val="231F20"/>
          <w:sz w:val="20"/>
          <w:szCs w:val="20"/>
          <w:lang w:val="en-US" w:eastAsia="zh-CN"/>
        </w:rPr>
        <w:drawing>
          <wp:inline distT="0" distB="0" distL="114300" distR="114300">
            <wp:extent cx="3950970" cy="4377690"/>
            <wp:effectExtent l="0" t="0" r="1905" b="3810"/>
            <wp:docPr id="4" name="图片 4" descr="多变量验证队列IVW结果森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多变量验证队列IVW结果森林图"/>
                    <pic:cNvPicPr>
                      <a:picLocks noChangeAspect="1"/>
                    </pic:cNvPicPr>
                  </pic:nvPicPr>
                  <pic:blipFill>
                    <a:blip r:embed="rId27"/>
                    <a:stretch>
                      <a:fillRect/>
                    </a:stretch>
                  </pic:blipFill>
                  <pic:spPr>
                    <a:xfrm>
                      <a:off x="0" y="0"/>
                      <a:ext cx="3950970" cy="4377690"/>
                    </a:xfrm>
                    <a:prstGeom prst="rect">
                      <a:avLst/>
                    </a:prstGeom>
                  </pic:spPr>
                </pic:pic>
              </a:graphicData>
            </a:graphic>
          </wp:inline>
        </w:drawing>
      </w:r>
    </w:p>
    <w:p>
      <w:pPr>
        <w:rPr>
          <w:rFonts w:hint="eastAsia" w:ascii="Times New Roman" w:hAnsi="Times New Roman" w:eastAsia="等线"/>
          <w:b/>
          <w:bCs/>
          <w:sz w:val="20"/>
          <w:szCs w:val="20"/>
          <w:lang w:eastAsia="zh-CN"/>
        </w:rPr>
      </w:pPr>
      <w:r>
        <w:rPr>
          <w:rFonts w:ascii="Times New Roman" w:hAnsi="Times New Roman"/>
          <w:b/>
          <w:bCs/>
          <w:sz w:val="20"/>
          <w:szCs w:val="20"/>
        </w:rPr>
        <w:t xml:space="preserve">Supplementary </w:t>
      </w:r>
      <w:r>
        <w:rPr>
          <w:rFonts w:hint="eastAsia" w:ascii="Times New Roman" w:hAnsi="Times New Roman"/>
          <w:b/>
          <w:bCs/>
          <w:sz w:val="20"/>
          <w:szCs w:val="20"/>
          <w:lang w:val="en-US" w:eastAsia="zh-CN"/>
        </w:rPr>
        <w:t xml:space="preserve">Figure 6 </w:t>
      </w:r>
      <w:r>
        <w:rPr>
          <w:rFonts w:hint="eastAsia" w:ascii="Times New Roman" w:hAnsi="Times New Roman"/>
          <w:b/>
          <w:bCs/>
          <w:sz w:val="20"/>
          <w:szCs w:val="20"/>
        </w:rPr>
        <w:t>displayed in</w:t>
      </w:r>
      <w:r>
        <w:rPr>
          <w:rFonts w:hint="eastAsia" w:ascii="Times New Roman" w:hAnsi="Times New Roman"/>
          <w:b/>
          <w:bCs/>
          <w:sz w:val="20"/>
          <w:szCs w:val="20"/>
          <w:lang w:val="en-US" w:eastAsia="zh-CN"/>
        </w:rPr>
        <w:t xml:space="preserve"> </w:t>
      </w:r>
      <w:r>
        <w:rPr>
          <w:rFonts w:ascii="Times New Roman" w:hAnsi="Times New Roman"/>
          <w:b/>
          <w:bCs/>
          <w:sz w:val="20"/>
          <w:szCs w:val="20"/>
        </w:rPr>
        <w:t xml:space="preserve">Supplementary </w:t>
      </w:r>
      <w:r>
        <w:rPr>
          <w:rFonts w:hint="eastAsia" w:ascii="Times New Roman" w:hAnsi="Times New Roman"/>
          <w:b/>
          <w:bCs/>
          <w:sz w:val="20"/>
          <w:szCs w:val="20"/>
          <w:lang w:val="en-US" w:eastAsia="zh-CN"/>
        </w:rPr>
        <w:t>Figure 6.docx</w:t>
      </w:r>
    </w:p>
    <w:p>
      <w:pPr>
        <w:rPr>
          <w:rFonts w:hint="eastAsia" w:ascii="Times New Roman" w:hAnsi="Times New Roman" w:eastAsia="等线"/>
          <w:b/>
          <w:bCs/>
          <w:sz w:val="20"/>
          <w:szCs w:val="20"/>
          <w:lang w:eastAsia="zh-CN"/>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hint="eastAsia" w:ascii="Times New Roman" w:hAnsi="Times New Roman"/>
          <w:b/>
          <w:bCs/>
          <w:sz w:val="20"/>
          <w:szCs w:val="20"/>
        </w:rPr>
      </w:pPr>
    </w:p>
    <w:p>
      <w:pPr>
        <w:rPr>
          <w:rFonts w:ascii="Times New Roman" w:hAnsi="Times New Roman"/>
          <w:b/>
          <w:bCs/>
          <w:sz w:val="20"/>
          <w:szCs w:val="20"/>
        </w:rPr>
      </w:pPr>
    </w:p>
    <w:p>
      <w:pPr>
        <w:rPr>
          <w:rFonts w:ascii="Times New Roman" w:hAnsi="Times New Roman"/>
          <w:b/>
          <w:bCs/>
          <w:sz w:val="20"/>
          <w:szCs w:val="20"/>
        </w:rPr>
      </w:pP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68838812"/>
      <w:docPartObj>
        <w:docPartGallery w:val="autotext"/>
      </w:docPartObj>
    </w:sdtPr>
    <w:sdtEndPr>
      <w:rPr>
        <w:rFonts w:ascii="Times New Roman" w:hAnsi="Times New Roman"/>
        <w:sz w:val="13"/>
        <w:szCs w:val="13"/>
      </w:rPr>
    </w:sdtEndPr>
    <w:sdtContent>
      <w:p>
        <w:pPr>
          <w:pStyle w:val="6"/>
          <w:jc w:val="center"/>
          <w:rPr>
            <w:rFonts w:ascii="Times New Roman" w:hAnsi="Times New Roman"/>
            <w:sz w:val="13"/>
            <w:szCs w:val="13"/>
          </w:rPr>
        </w:pPr>
        <w:r>
          <w:rPr>
            <w:rFonts w:ascii="Times New Roman" w:hAnsi="Times New Roman"/>
            <w:sz w:val="13"/>
            <w:szCs w:val="13"/>
          </w:rPr>
          <w:fldChar w:fldCharType="begin"/>
        </w:r>
        <w:r>
          <w:rPr>
            <w:rFonts w:ascii="Times New Roman" w:hAnsi="Times New Roman"/>
            <w:sz w:val="13"/>
            <w:szCs w:val="13"/>
          </w:rPr>
          <w:instrText xml:space="preserve">PAGE   \* MERGEFORMAT</w:instrText>
        </w:r>
        <w:r>
          <w:rPr>
            <w:rFonts w:ascii="Times New Roman" w:hAnsi="Times New Roman"/>
            <w:sz w:val="13"/>
            <w:szCs w:val="13"/>
          </w:rPr>
          <w:fldChar w:fldCharType="separate"/>
        </w:r>
        <w:r>
          <w:rPr>
            <w:rFonts w:ascii="Times New Roman" w:hAnsi="Times New Roman"/>
            <w:sz w:val="13"/>
            <w:szCs w:val="13"/>
            <w:lang w:val="zh-CN"/>
          </w:rPr>
          <w:t>2</w:t>
        </w:r>
        <w:r>
          <w:rPr>
            <w:rFonts w:ascii="Times New Roman" w:hAnsi="Times New Roman"/>
            <w:sz w:val="13"/>
            <w:szCs w:val="13"/>
          </w:rP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E3MWE5NWU1YTJhNTdlNmYyN2RlOGU1YzlmYWRkM2MifQ=="/>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wvxw90fqt95wdepvpdpzpzu00aevvwfx2av&quot;&gt;IPF_Yanan Zhang&lt;record-ids&gt;&lt;item&gt;263&lt;/item&gt;&lt;/record-ids&gt;&lt;/item&gt;&lt;/Libraries&gt;"/>
  </w:docVars>
  <w:rsids>
    <w:rsidRoot w:val="00172A27"/>
    <w:rsid w:val="0001454C"/>
    <w:rsid w:val="00042746"/>
    <w:rsid w:val="00043457"/>
    <w:rsid w:val="000633B5"/>
    <w:rsid w:val="00076365"/>
    <w:rsid w:val="00081E38"/>
    <w:rsid w:val="000B0BDC"/>
    <w:rsid w:val="000C7E0C"/>
    <w:rsid w:val="000D56C3"/>
    <w:rsid w:val="000E3F66"/>
    <w:rsid w:val="001170BF"/>
    <w:rsid w:val="0011760F"/>
    <w:rsid w:val="00123684"/>
    <w:rsid w:val="00141115"/>
    <w:rsid w:val="00162DFD"/>
    <w:rsid w:val="00175BE0"/>
    <w:rsid w:val="00183917"/>
    <w:rsid w:val="001919A3"/>
    <w:rsid w:val="00194A6A"/>
    <w:rsid w:val="00196A54"/>
    <w:rsid w:val="001A008C"/>
    <w:rsid w:val="001B1F88"/>
    <w:rsid w:val="001B558A"/>
    <w:rsid w:val="001F0CE3"/>
    <w:rsid w:val="002005DB"/>
    <w:rsid w:val="00237199"/>
    <w:rsid w:val="002533B9"/>
    <w:rsid w:val="002545E6"/>
    <w:rsid w:val="00267E17"/>
    <w:rsid w:val="002973DB"/>
    <w:rsid w:val="002D5996"/>
    <w:rsid w:val="002D7121"/>
    <w:rsid w:val="002F4140"/>
    <w:rsid w:val="00320227"/>
    <w:rsid w:val="00361069"/>
    <w:rsid w:val="0039503A"/>
    <w:rsid w:val="003B7040"/>
    <w:rsid w:val="003F0FE6"/>
    <w:rsid w:val="003F1050"/>
    <w:rsid w:val="003F30FD"/>
    <w:rsid w:val="00404E0A"/>
    <w:rsid w:val="004565C1"/>
    <w:rsid w:val="004573F1"/>
    <w:rsid w:val="00463775"/>
    <w:rsid w:val="00476AEC"/>
    <w:rsid w:val="004C0952"/>
    <w:rsid w:val="004C643E"/>
    <w:rsid w:val="004D61B2"/>
    <w:rsid w:val="004D71A0"/>
    <w:rsid w:val="004D7581"/>
    <w:rsid w:val="004E7A0A"/>
    <w:rsid w:val="004F7FE5"/>
    <w:rsid w:val="00500227"/>
    <w:rsid w:val="00503C92"/>
    <w:rsid w:val="005075D2"/>
    <w:rsid w:val="00517822"/>
    <w:rsid w:val="00542F86"/>
    <w:rsid w:val="00545440"/>
    <w:rsid w:val="00547D70"/>
    <w:rsid w:val="0058505A"/>
    <w:rsid w:val="005E3015"/>
    <w:rsid w:val="005E532B"/>
    <w:rsid w:val="006046AD"/>
    <w:rsid w:val="00660E93"/>
    <w:rsid w:val="00695567"/>
    <w:rsid w:val="006F3AD8"/>
    <w:rsid w:val="0070362A"/>
    <w:rsid w:val="00705771"/>
    <w:rsid w:val="00741175"/>
    <w:rsid w:val="007860CE"/>
    <w:rsid w:val="007A08BB"/>
    <w:rsid w:val="007D1EAF"/>
    <w:rsid w:val="00806F9F"/>
    <w:rsid w:val="00820AAA"/>
    <w:rsid w:val="00824D88"/>
    <w:rsid w:val="00835E4F"/>
    <w:rsid w:val="0084218D"/>
    <w:rsid w:val="008509A5"/>
    <w:rsid w:val="00884EF8"/>
    <w:rsid w:val="008A3888"/>
    <w:rsid w:val="008E0F38"/>
    <w:rsid w:val="008E3F51"/>
    <w:rsid w:val="00904561"/>
    <w:rsid w:val="009146AF"/>
    <w:rsid w:val="0092592D"/>
    <w:rsid w:val="009325E8"/>
    <w:rsid w:val="00935310"/>
    <w:rsid w:val="00955E76"/>
    <w:rsid w:val="00956965"/>
    <w:rsid w:val="009A2780"/>
    <w:rsid w:val="009A4CF2"/>
    <w:rsid w:val="009B4C6D"/>
    <w:rsid w:val="009C504A"/>
    <w:rsid w:val="009D4EAB"/>
    <w:rsid w:val="009E1651"/>
    <w:rsid w:val="009F0BD6"/>
    <w:rsid w:val="00A01545"/>
    <w:rsid w:val="00A30B49"/>
    <w:rsid w:val="00A43D19"/>
    <w:rsid w:val="00A4567F"/>
    <w:rsid w:val="00A6283A"/>
    <w:rsid w:val="00A82A0E"/>
    <w:rsid w:val="00A93D5F"/>
    <w:rsid w:val="00A97C1C"/>
    <w:rsid w:val="00AB3E21"/>
    <w:rsid w:val="00AC17F1"/>
    <w:rsid w:val="00AC1C9F"/>
    <w:rsid w:val="00B01F6F"/>
    <w:rsid w:val="00B1285C"/>
    <w:rsid w:val="00B31C6B"/>
    <w:rsid w:val="00B6294F"/>
    <w:rsid w:val="00BC4281"/>
    <w:rsid w:val="00BE0B02"/>
    <w:rsid w:val="00BE51F8"/>
    <w:rsid w:val="00C41AEE"/>
    <w:rsid w:val="00C449CB"/>
    <w:rsid w:val="00C717BA"/>
    <w:rsid w:val="00C74324"/>
    <w:rsid w:val="00C7657B"/>
    <w:rsid w:val="00CE2358"/>
    <w:rsid w:val="00D22638"/>
    <w:rsid w:val="00D31354"/>
    <w:rsid w:val="00D65C44"/>
    <w:rsid w:val="00D71042"/>
    <w:rsid w:val="00D75C0F"/>
    <w:rsid w:val="00DB7A20"/>
    <w:rsid w:val="00DC4538"/>
    <w:rsid w:val="00DD6B96"/>
    <w:rsid w:val="00DF0570"/>
    <w:rsid w:val="00DF6958"/>
    <w:rsid w:val="00E1505B"/>
    <w:rsid w:val="00E225B3"/>
    <w:rsid w:val="00E42247"/>
    <w:rsid w:val="00E63842"/>
    <w:rsid w:val="00E715D1"/>
    <w:rsid w:val="00E94899"/>
    <w:rsid w:val="00EA5D8F"/>
    <w:rsid w:val="00EE0DD6"/>
    <w:rsid w:val="00EE1F87"/>
    <w:rsid w:val="00EE4A6E"/>
    <w:rsid w:val="00EE69C2"/>
    <w:rsid w:val="00EE6DBD"/>
    <w:rsid w:val="00F0182E"/>
    <w:rsid w:val="00F02513"/>
    <w:rsid w:val="00F0322B"/>
    <w:rsid w:val="00F0680F"/>
    <w:rsid w:val="00F52B1F"/>
    <w:rsid w:val="00F56E71"/>
    <w:rsid w:val="00F57E6E"/>
    <w:rsid w:val="00F9181A"/>
    <w:rsid w:val="00FB16B5"/>
    <w:rsid w:val="00FD0B63"/>
    <w:rsid w:val="00FE09F4"/>
    <w:rsid w:val="00FE2305"/>
    <w:rsid w:val="00FE69B5"/>
    <w:rsid w:val="01973B44"/>
    <w:rsid w:val="01E07299"/>
    <w:rsid w:val="02441F1E"/>
    <w:rsid w:val="028E7EFB"/>
    <w:rsid w:val="042C2C6A"/>
    <w:rsid w:val="06B331CE"/>
    <w:rsid w:val="06B70F10"/>
    <w:rsid w:val="073E518E"/>
    <w:rsid w:val="08FC70AE"/>
    <w:rsid w:val="099866AB"/>
    <w:rsid w:val="0B301291"/>
    <w:rsid w:val="0B41524D"/>
    <w:rsid w:val="0B726E1B"/>
    <w:rsid w:val="0C1C35C4"/>
    <w:rsid w:val="0CB67574"/>
    <w:rsid w:val="0CC53C5B"/>
    <w:rsid w:val="0DCA66D9"/>
    <w:rsid w:val="0E4A4418"/>
    <w:rsid w:val="0F615EBD"/>
    <w:rsid w:val="10196798"/>
    <w:rsid w:val="10881228"/>
    <w:rsid w:val="121A2353"/>
    <w:rsid w:val="12E12E71"/>
    <w:rsid w:val="12F26E2C"/>
    <w:rsid w:val="12FD414F"/>
    <w:rsid w:val="140B34B6"/>
    <w:rsid w:val="14353475"/>
    <w:rsid w:val="14C33176"/>
    <w:rsid w:val="15BD1974"/>
    <w:rsid w:val="160D5155"/>
    <w:rsid w:val="16323607"/>
    <w:rsid w:val="17215F32"/>
    <w:rsid w:val="17AC1CA0"/>
    <w:rsid w:val="17F41F31"/>
    <w:rsid w:val="18F90F15"/>
    <w:rsid w:val="18FC27B3"/>
    <w:rsid w:val="19BE5CBA"/>
    <w:rsid w:val="1B446693"/>
    <w:rsid w:val="1B6D5BEA"/>
    <w:rsid w:val="1B7156DA"/>
    <w:rsid w:val="1BE76FA5"/>
    <w:rsid w:val="1C444B9D"/>
    <w:rsid w:val="1D0B1216"/>
    <w:rsid w:val="1E391DB3"/>
    <w:rsid w:val="1E4C7F31"/>
    <w:rsid w:val="1F0C56AE"/>
    <w:rsid w:val="204A02A8"/>
    <w:rsid w:val="20C95670"/>
    <w:rsid w:val="20EB31F9"/>
    <w:rsid w:val="21892883"/>
    <w:rsid w:val="23D507D0"/>
    <w:rsid w:val="241E5CD3"/>
    <w:rsid w:val="248F097F"/>
    <w:rsid w:val="2681079B"/>
    <w:rsid w:val="26AF355A"/>
    <w:rsid w:val="275C1E32"/>
    <w:rsid w:val="279462AC"/>
    <w:rsid w:val="28081174"/>
    <w:rsid w:val="28B409B4"/>
    <w:rsid w:val="29930F11"/>
    <w:rsid w:val="2A1831C5"/>
    <w:rsid w:val="2A55130F"/>
    <w:rsid w:val="2A8E3487"/>
    <w:rsid w:val="2D60110A"/>
    <w:rsid w:val="2DB7309C"/>
    <w:rsid w:val="2DE0049D"/>
    <w:rsid w:val="2FE204FD"/>
    <w:rsid w:val="3025663B"/>
    <w:rsid w:val="317A2268"/>
    <w:rsid w:val="32111525"/>
    <w:rsid w:val="329F26D5"/>
    <w:rsid w:val="33062754"/>
    <w:rsid w:val="330C763F"/>
    <w:rsid w:val="33FB7DDF"/>
    <w:rsid w:val="347A51A8"/>
    <w:rsid w:val="34936269"/>
    <w:rsid w:val="350D601C"/>
    <w:rsid w:val="35154ED0"/>
    <w:rsid w:val="35F42D38"/>
    <w:rsid w:val="36767E2B"/>
    <w:rsid w:val="37F963E3"/>
    <w:rsid w:val="38AA3B82"/>
    <w:rsid w:val="390239BE"/>
    <w:rsid w:val="39561614"/>
    <w:rsid w:val="39627FB8"/>
    <w:rsid w:val="3A9E7716"/>
    <w:rsid w:val="3B7A783B"/>
    <w:rsid w:val="3B9052B1"/>
    <w:rsid w:val="3C5858A4"/>
    <w:rsid w:val="3CE84C78"/>
    <w:rsid w:val="3CF8135F"/>
    <w:rsid w:val="3D0870C9"/>
    <w:rsid w:val="3D566086"/>
    <w:rsid w:val="3E5F71BC"/>
    <w:rsid w:val="3EEB27FE"/>
    <w:rsid w:val="3F220916"/>
    <w:rsid w:val="3F454604"/>
    <w:rsid w:val="3FBA666E"/>
    <w:rsid w:val="3FE21E53"/>
    <w:rsid w:val="4010076E"/>
    <w:rsid w:val="404D19C2"/>
    <w:rsid w:val="40B97058"/>
    <w:rsid w:val="418D3E0D"/>
    <w:rsid w:val="42E163F2"/>
    <w:rsid w:val="43497D75"/>
    <w:rsid w:val="444B446B"/>
    <w:rsid w:val="45264590"/>
    <w:rsid w:val="465D2233"/>
    <w:rsid w:val="46893028"/>
    <w:rsid w:val="4787410F"/>
    <w:rsid w:val="47F16DD8"/>
    <w:rsid w:val="48541414"/>
    <w:rsid w:val="48A44149"/>
    <w:rsid w:val="48A56C52"/>
    <w:rsid w:val="48C60564"/>
    <w:rsid w:val="499E328F"/>
    <w:rsid w:val="49DE368B"/>
    <w:rsid w:val="49EA2030"/>
    <w:rsid w:val="4A6A75F1"/>
    <w:rsid w:val="4C1710D6"/>
    <w:rsid w:val="4C545E87"/>
    <w:rsid w:val="4D5C1497"/>
    <w:rsid w:val="4EB470B0"/>
    <w:rsid w:val="4EDC4076"/>
    <w:rsid w:val="537E1A3B"/>
    <w:rsid w:val="53AE3415"/>
    <w:rsid w:val="53BD3596"/>
    <w:rsid w:val="553625CD"/>
    <w:rsid w:val="55482300"/>
    <w:rsid w:val="563F54B2"/>
    <w:rsid w:val="57D83E10"/>
    <w:rsid w:val="589A7317"/>
    <w:rsid w:val="5A6951F3"/>
    <w:rsid w:val="5AA63D51"/>
    <w:rsid w:val="5B1E5FDD"/>
    <w:rsid w:val="5D156F6C"/>
    <w:rsid w:val="5D521F6E"/>
    <w:rsid w:val="5EBD7D90"/>
    <w:rsid w:val="5EDE503B"/>
    <w:rsid w:val="5EF64B7B"/>
    <w:rsid w:val="60964868"/>
    <w:rsid w:val="60A72A8A"/>
    <w:rsid w:val="613A3445"/>
    <w:rsid w:val="62257C51"/>
    <w:rsid w:val="62685BA2"/>
    <w:rsid w:val="62830E1C"/>
    <w:rsid w:val="628C5F22"/>
    <w:rsid w:val="63051831"/>
    <w:rsid w:val="636D5D54"/>
    <w:rsid w:val="648B3FB8"/>
    <w:rsid w:val="64DE28AA"/>
    <w:rsid w:val="652266CA"/>
    <w:rsid w:val="65B37C6A"/>
    <w:rsid w:val="65F067C8"/>
    <w:rsid w:val="66671451"/>
    <w:rsid w:val="6793565D"/>
    <w:rsid w:val="679B2764"/>
    <w:rsid w:val="67B11F87"/>
    <w:rsid w:val="690D143F"/>
    <w:rsid w:val="694C2FB7"/>
    <w:rsid w:val="69AA4EE0"/>
    <w:rsid w:val="69D63F27"/>
    <w:rsid w:val="6B233049"/>
    <w:rsid w:val="6BF079C3"/>
    <w:rsid w:val="6C3B48A1"/>
    <w:rsid w:val="6D752BAA"/>
    <w:rsid w:val="6E9A19C7"/>
    <w:rsid w:val="6F045092"/>
    <w:rsid w:val="6F3516F0"/>
    <w:rsid w:val="6F934D39"/>
    <w:rsid w:val="707D3274"/>
    <w:rsid w:val="70FC4273"/>
    <w:rsid w:val="710F07B4"/>
    <w:rsid w:val="724F4877"/>
    <w:rsid w:val="731F06ED"/>
    <w:rsid w:val="740426A1"/>
    <w:rsid w:val="743C0E2B"/>
    <w:rsid w:val="74D6127F"/>
    <w:rsid w:val="75B72BEA"/>
    <w:rsid w:val="764566BC"/>
    <w:rsid w:val="76472434"/>
    <w:rsid w:val="77336515"/>
    <w:rsid w:val="78911745"/>
    <w:rsid w:val="78AF606F"/>
    <w:rsid w:val="7A951484"/>
    <w:rsid w:val="7B2C39A7"/>
    <w:rsid w:val="7B876E2F"/>
    <w:rsid w:val="7BDA78A7"/>
    <w:rsid w:val="7C321491"/>
    <w:rsid w:val="7CAB4D9F"/>
    <w:rsid w:val="7D1B0177"/>
    <w:rsid w:val="7D7635FF"/>
    <w:rsid w:val="7E891110"/>
    <w:rsid w:val="7EE30820"/>
    <w:rsid w:val="7F460DAF"/>
    <w:rsid w:val="7FBB179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0"/>
    <w:unhideWhenUsed/>
    <w:qFormat/>
    <w:uiPriority w:val="9"/>
    <w:pPr>
      <w:keepNext/>
      <w:keepLines/>
      <w:spacing w:before="260" w:after="260" w:line="416" w:lineRule="auto"/>
      <w:outlineLvl w:val="1"/>
    </w:pPr>
    <w:rPr>
      <w:rFonts w:ascii="等线 Light" w:hAnsi="等线 Light" w:eastAsia="等线 Light"/>
      <w:b/>
      <w:bCs/>
      <w:sz w:val="32"/>
      <w:szCs w:val="32"/>
    </w:rPr>
  </w:style>
  <w:style w:type="character" w:default="1" w:styleId="13">
    <w:name w:val="Default Paragraph Font"/>
    <w:semiHidden/>
    <w:unhideWhenUsed/>
    <w:qFormat/>
    <w:uiPriority w:val="1"/>
  </w:style>
  <w:style w:type="table" w:default="1" w:styleId="11">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annotation text"/>
    <w:basedOn w:val="1"/>
    <w:link w:val="27"/>
    <w:autoRedefine/>
    <w:semiHidden/>
    <w:unhideWhenUsed/>
    <w:qFormat/>
    <w:uiPriority w:val="99"/>
    <w:pPr>
      <w:jc w:val="left"/>
    </w:pPr>
  </w:style>
  <w:style w:type="paragraph" w:styleId="5">
    <w:name w:val="Balloon Text"/>
    <w:basedOn w:val="1"/>
    <w:link w:val="26"/>
    <w:autoRedefine/>
    <w:semiHidden/>
    <w:unhideWhenUsed/>
    <w:qFormat/>
    <w:uiPriority w:val="99"/>
    <w:rPr>
      <w:sz w:val="18"/>
      <w:szCs w:val="18"/>
    </w:rPr>
  </w:style>
  <w:style w:type="paragraph" w:styleId="6">
    <w:name w:val="footer"/>
    <w:basedOn w:val="1"/>
    <w:link w:val="19"/>
    <w:autoRedefine/>
    <w:unhideWhenUsed/>
    <w:qFormat/>
    <w:uiPriority w:val="99"/>
    <w:pPr>
      <w:tabs>
        <w:tab w:val="center" w:pos="4153"/>
        <w:tab w:val="right" w:pos="8306"/>
      </w:tabs>
      <w:snapToGrid w:val="0"/>
      <w:jc w:val="left"/>
    </w:pPr>
    <w:rPr>
      <w:sz w:val="18"/>
      <w:szCs w:val="18"/>
    </w:rPr>
  </w:style>
  <w:style w:type="paragraph" w:styleId="7">
    <w:name w:val="header"/>
    <w:basedOn w:val="1"/>
    <w:link w:val="1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autoRedefine/>
    <w:unhideWhenUsed/>
    <w:qFormat/>
    <w:uiPriority w:val="39"/>
  </w:style>
  <w:style w:type="paragraph" w:styleId="9">
    <w:name w:val="toc 2"/>
    <w:basedOn w:val="1"/>
    <w:next w:val="1"/>
    <w:autoRedefine/>
    <w:unhideWhenUsed/>
    <w:qFormat/>
    <w:uiPriority w:val="39"/>
    <w:pPr>
      <w:ind w:left="420" w:leftChars="200"/>
    </w:pPr>
  </w:style>
  <w:style w:type="paragraph" w:styleId="10">
    <w:name w:val="annotation subject"/>
    <w:basedOn w:val="4"/>
    <w:next w:val="4"/>
    <w:link w:val="28"/>
    <w:autoRedefine/>
    <w:semiHidden/>
    <w:unhideWhenUsed/>
    <w:qFormat/>
    <w:uiPriority w:val="99"/>
    <w:rPr>
      <w:b/>
      <w:bCs/>
    </w:rPr>
  </w:style>
  <w:style w:type="table" w:styleId="12">
    <w:name w:val="Table Grid"/>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llowedHyperlink"/>
    <w:basedOn w:val="13"/>
    <w:autoRedefine/>
    <w:semiHidden/>
    <w:unhideWhenUsed/>
    <w:qFormat/>
    <w:uiPriority w:val="99"/>
    <w:rPr>
      <w:color w:val="954F72"/>
      <w:u w:val="single"/>
    </w:rPr>
  </w:style>
  <w:style w:type="character" w:styleId="15">
    <w:name w:val="Hyperlink"/>
    <w:basedOn w:val="13"/>
    <w:autoRedefine/>
    <w:unhideWhenUsed/>
    <w:qFormat/>
    <w:uiPriority w:val="99"/>
    <w:rPr>
      <w:color w:val="0563C1" w:themeColor="hyperlink"/>
      <w:u w:val="single"/>
      <w14:textFill>
        <w14:solidFill>
          <w14:schemeClr w14:val="hlink"/>
        </w14:solidFill>
      </w14:textFill>
    </w:rPr>
  </w:style>
  <w:style w:type="character" w:styleId="16">
    <w:name w:val="annotation reference"/>
    <w:basedOn w:val="13"/>
    <w:autoRedefine/>
    <w:semiHidden/>
    <w:unhideWhenUsed/>
    <w:qFormat/>
    <w:uiPriority w:val="99"/>
    <w:rPr>
      <w:sz w:val="21"/>
      <w:szCs w:val="21"/>
    </w:rPr>
  </w:style>
  <w:style w:type="character" w:customStyle="1" w:styleId="17">
    <w:name w:val="标题 1 字符"/>
    <w:basedOn w:val="13"/>
    <w:link w:val="2"/>
    <w:autoRedefine/>
    <w:qFormat/>
    <w:uiPriority w:val="9"/>
    <w:rPr>
      <w:rFonts w:ascii="等线" w:hAnsi="等线" w:eastAsia="等线" w:cs="Times New Roman"/>
      <w:b/>
      <w:bCs/>
      <w:kern w:val="44"/>
      <w:sz w:val="44"/>
      <w:szCs w:val="44"/>
    </w:rPr>
  </w:style>
  <w:style w:type="character" w:customStyle="1" w:styleId="18">
    <w:name w:val="页眉 字符"/>
    <w:basedOn w:val="13"/>
    <w:link w:val="7"/>
    <w:autoRedefine/>
    <w:qFormat/>
    <w:uiPriority w:val="99"/>
    <w:rPr>
      <w:sz w:val="18"/>
      <w:szCs w:val="18"/>
    </w:rPr>
  </w:style>
  <w:style w:type="character" w:customStyle="1" w:styleId="19">
    <w:name w:val="页脚 字符"/>
    <w:basedOn w:val="13"/>
    <w:link w:val="6"/>
    <w:autoRedefine/>
    <w:qFormat/>
    <w:uiPriority w:val="99"/>
    <w:rPr>
      <w:sz w:val="18"/>
      <w:szCs w:val="18"/>
    </w:rPr>
  </w:style>
  <w:style w:type="character" w:customStyle="1" w:styleId="20">
    <w:name w:val="标题 2 字符"/>
    <w:basedOn w:val="13"/>
    <w:link w:val="3"/>
    <w:autoRedefine/>
    <w:qFormat/>
    <w:uiPriority w:val="9"/>
    <w:rPr>
      <w:rFonts w:ascii="等线 Light" w:hAnsi="等线 Light" w:eastAsia="等线 Light" w:cs="Times New Roman"/>
      <w:b/>
      <w:bCs/>
      <w:sz w:val="32"/>
      <w:szCs w:val="32"/>
    </w:rPr>
  </w:style>
  <w:style w:type="paragraph" w:customStyle="1" w:styleId="21">
    <w:name w:val="TOC Heading"/>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22">
    <w:name w:val="EndNote Bibliography Title"/>
    <w:basedOn w:val="1"/>
    <w:link w:val="23"/>
    <w:autoRedefine/>
    <w:qFormat/>
    <w:uiPriority w:val="0"/>
    <w:pPr>
      <w:jc w:val="center"/>
    </w:pPr>
    <w:rPr>
      <w:sz w:val="20"/>
    </w:rPr>
  </w:style>
  <w:style w:type="character" w:customStyle="1" w:styleId="23">
    <w:name w:val="EndNote Bibliography Title 字符"/>
    <w:basedOn w:val="13"/>
    <w:link w:val="22"/>
    <w:autoRedefine/>
    <w:qFormat/>
    <w:uiPriority w:val="0"/>
    <w:rPr>
      <w:rFonts w:ascii="等线" w:hAnsi="等线" w:eastAsia="等线" w:cs="Times New Roman"/>
      <w:sz w:val="20"/>
    </w:rPr>
  </w:style>
  <w:style w:type="paragraph" w:customStyle="1" w:styleId="24">
    <w:name w:val="EndNote Bibliography"/>
    <w:basedOn w:val="1"/>
    <w:link w:val="25"/>
    <w:autoRedefine/>
    <w:qFormat/>
    <w:uiPriority w:val="0"/>
    <w:pPr>
      <w:jc w:val="left"/>
    </w:pPr>
    <w:rPr>
      <w:sz w:val="20"/>
    </w:rPr>
  </w:style>
  <w:style w:type="character" w:customStyle="1" w:styleId="25">
    <w:name w:val="EndNote Bibliography 字符"/>
    <w:basedOn w:val="13"/>
    <w:link w:val="24"/>
    <w:autoRedefine/>
    <w:qFormat/>
    <w:uiPriority w:val="0"/>
    <w:rPr>
      <w:rFonts w:ascii="等线" w:hAnsi="等线" w:eastAsia="等线" w:cs="Times New Roman"/>
      <w:sz w:val="20"/>
    </w:rPr>
  </w:style>
  <w:style w:type="character" w:customStyle="1" w:styleId="26">
    <w:name w:val="批注框文本 字符"/>
    <w:basedOn w:val="13"/>
    <w:link w:val="5"/>
    <w:autoRedefine/>
    <w:semiHidden/>
    <w:qFormat/>
    <w:uiPriority w:val="99"/>
    <w:rPr>
      <w:rFonts w:ascii="等线" w:hAnsi="等线" w:eastAsia="等线" w:cs="Times New Roman"/>
      <w:sz w:val="18"/>
      <w:szCs w:val="18"/>
    </w:rPr>
  </w:style>
  <w:style w:type="character" w:customStyle="1" w:styleId="27">
    <w:name w:val="批注文字 字符"/>
    <w:basedOn w:val="13"/>
    <w:link w:val="4"/>
    <w:autoRedefine/>
    <w:semiHidden/>
    <w:qFormat/>
    <w:uiPriority w:val="99"/>
    <w:rPr>
      <w:rFonts w:ascii="等线" w:hAnsi="等线" w:eastAsia="等线" w:cs="Times New Roman"/>
    </w:rPr>
  </w:style>
  <w:style w:type="character" w:customStyle="1" w:styleId="28">
    <w:name w:val="批注主题 字符"/>
    <w:basedOn w:val="27"/>
    <w:link w:val="10"/>
    <w:autoRedefine/>
    <w:semiHidden/>
    <w:qFormat/>
    <w:uiPriority w:val="99"/>
    <w:rPr>
      <w:rFonts w:ascii="等线" w:hAnsi="等线" w:eastAsia="等线" w:cs="Times New Roman"/>
      <w:b/>
      <w:bCs/>
    </w:rPr>
  </w:style>
  <w:style w:type="paragraph" w:customStyle="1" w:styleId="29">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0">
    <w:name w:val="font5"/>
    <w:basedOn w:val="1"/>
    <w:autoRedefine/>
    <w:qFormat/>
    <w:uiPriority w:val="0"/>
    <w:pPr>
      <w:widowControl/>
      <w:spacing w:before="100" w:beforeAutospacing="1" w:after="100" w:afterAutospacing="1"/>
      <w:jc w:val="left"/>
    </w:pPr>
    <w:rPr>
      <w:rFonts w:cs="宋体"/>
      <w:kern w:val="0"/>
      <w:sz w:val="18"/>
      <w:szCs w:val="18"/>
    </w:rPr>
  </w:style>
  <w:style w:type="paragraph" w:customStyle="1" w:styleId="31">
    <w:name w:val="xl63"/>
    <w:basedOn w:val="1"/>
    <w:autoRedefine/>
    <w:qFormat/>
    <w:uiPriority w:val="0"/>
    <w:pPr>
      <w:widowControl/>
      <w:spacing w:before="100" w:beforeAutospacing="1" w:after="100" w:afterAutospacing="1"/>
      <w:jc w:val="left"/>
    </w:pPr>
    <w:rPr>
      <w:rFonts w:ascii="Times New Roman" w:hAnsi="Times New Roman" w:eastAsia="宋体"/>
      <w:kern w:val="0"/>
      <w:sz w:val="18"/>
      <w:szCs w:val="18"/>
    </w:rPr>
  </w:style>
  <w:style w:type="paragraph" w:customStyle="1" w:styleId="32">
    <w:name w:val="xl64"/>
    <w:basedOn w:val="1"/>
    <w:autoRedefine/>
    <w:qFormat/>
    <w:uiPriority w:val="0"/>
    <w:pPr>
      <w:widowControl/>
      <w:spacing w:before="100" w:beforeAutospacing="1" w:after="100" w:afterAutospacing="1"/>
      <w:jc w:val="center"/>
    </w:pPr>
    <w:rPr>
      <w:rFonts w:ascii="Times New Roman" w:hAnsi="Times New Roman" w:eastAsia="宋体"/>
      <w:kern w:val="0"/>
      <w:sz w:val="18"/>
      <w:szCs w:val="18"/>
    </w:rPr>
  </w:style>
  <w:style w:type="paragraph" w:customStyle="1" w:styleId="33">
    <w:name w:val="xl65"/>
    <w:basedOn w:val="1"/>
    <w:autoRedefine/>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34">
    <w:name w:val="xl66"/>
    <w:basedOn w:val="1"/>
    <w:autoRedefine/>
    <w:qFormat/>
    <w:uiPriority w:val="0"/>
    <w:pPr>
      <w:widowControl/>
      <w:spacing w:before="100" w:beforeAutospacing="1" w:after="100" w:afterAutospacing="1"/>
      <w:jc w:val="center"/>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9" Type="http://schemas.openxmlformats.org/officeDocument/2006/relationships/fontTable" Target="fontTable.xml"/><Relationship Id="rId28" Type="http://schemas.openxmlformats.org/officeDocument/2006/relationships/customXml" Target="../customXml/item1.xml"/><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12B217-C33D-4409-A8DD-E0469B83D148}">
  <ds:schemaRefs/>
</ds:datastoreItem>
</file>

<file path=docProps/app.xml><?xml version="1.0" encoding="utf-8"?>
<Properties xmlns="http://schemas.openxmlformats.org/officeDocument/2006/extended-properties" xmlns:vt="http://schemas.openxmlformats.org/officeDocument/2006/docPropsVTypes">
  <Template>Normal</Template>
  <Pages>34</Pages>
  <Words>3041</Words>
  <Characters>21622</Characters>
  <Lines>438</Lines>
  <Paragraphs>123</Paragraphs>
  <TotalTime>5</TotalTime>
  <ScaleCrop>false</ScaleCrop>
  <LinksUpToDate>false</LinksUpToDate>
  <CharactersWithSpaces>23191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2021-06-23T11:35:00Z</dcterms:created>
  <dc:creator>yanan zhang</dc:creator>
  <cp:lastModifiedBy>一醉经年</cp:lastModifiedBy>
  <dcterms:modified xsi:type="dcterms:W3CDTF">2024-01-11T17:18:16Z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0A6EC2E26E4B485C8C12D1B655263116_12</vt:lpwstr>
  </property>
</Properties>
</file>