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0BD03" w14:textId="739284D1" w:rsidR="009E251A" w:rsidRDefault="009E251A" w:rsidP="009E251A">
      <w:pPr>
        <w:pBdr>
          <w:bottom w:val="thickThinSmallGap" w:sz="24" w:space="1" w:color="auto"/>
        </w:pBdr>
        <w:tabs>
          <w:tab w:val="left" w:pos="1530"/>
          <w:tab w:val="left" w:pos="1800"/>
        </w:tabs>
        <w:spacing w:after="200" w:line="240" w:lineRule="auto"/>
      </w:pPr>
    </w:p>
    <w:p w14:paraId="4CEAD42C" w14:textId="4B793F94" w:rsidR="00D506D2" w:rsidRDefault="009E251A" w:rsidP="00D506D2">
      <w:pPr>
        <w:pBdr>
          <w:bottom w:val="thickThinSmallGap" w:sz="24" w:space="1" w:color="auto"/>
        </w:pBdr>
        <w:tabs>
          <w:tab w:val="left" w:pos="1530"/>
          <w:tab w:val="left" w:pos="1800"/>
        </w:tabs>
        <w:spacing w:line="240" w:lineRule="auto"/>
        <w:jc w:val="center"/>
        <w:rPr>
          <w:kern w:val="0"/>
          <w14:ligatures w14:val="none"/>
        </w:rPr>
      </w:pPr>
      <w:sdt>
        <w:sdtPr>
          <w:rPr>
            <w:kern w:val="0"/>
            <w14:ligatures w14:val="none"/>
          </w:rPr>
          <w:id w:val="1088272373"/>
          <w:showingPlcHdr/>
          <w:bibliography/>
        </w:sdtPr>
        <w:sdtEndPr/>
        <w:sdtContent>
          <w:r>
            <w:rPr>
              <w:kern w:val="0"/>
              <w14:ligatures w14:val="none"/>
            </w:rPr>
            <w:t xml:space="preserve">     </w:t>
          </w:r>
        </w:sdtContent>
      </w:sdt>
    </w:p>
    <w:p w14:paraId="55584D14" w14:textId="6309C0FD" w:rsidR="00D506D2" w:rsidRPr="00D506D2" w:rsidRDefault="00D506D2" w:rsidP="00D506D2">
      <w:pPr>
        <w:pBdr>
          <w:bottom w:val="thickThinSmallGap" w:sz="24" w:space="1" w:color="auto"/>
        </w:pBdr>
        <w:tabs>
          <w:tab w:val="left" w:pos="1530"/>
          <w:tab w:val="left" w:pos="1800"/>
        </w:tabs>
        <w:spacing w:line="240" w:lineRule="auto"/>
        <w:jc w:val="center"/>
        <w:rPr>
          <w:rFonts w:ascii="Times New Roman Bold" w:eastAsia="Calibri" w:hAnsi="Times New Roman Bold" w:cs="Times New Roman"/>
          <w:b/>
          <w:bCs/>
          <w:caps/>
          <w:kern w:val="0"/>
          <w:sz w:val="30"/>
          <w:szCs w:val="36"/>
          <w14:ligatures w14:val="none"/>
        </w:rPr>
      </w:pPr>
      <w:r w:rsidRPr="00D506D2">
        <w:rPr>
          <w:rFonts w:ascii="Times New Roman Bold" w:eastAsia="Calibri" w:hAnsi="Times New Roman Bold" w:cs="Times New Roman"/>
          <w:b/>
          <w:bCs/>
          <w:noProof/>
          <w:kern w:val="0"/>
          <w:sz w:val="30"/>
          <w:szCs w:val="36"/>
          <w:lang w:val="en-US"/>
          <w14:ligatures w14:val="none"/>
        </w:rPr>
        <mc:AlternateContent>
          <mc:Choice Requires="wps">
            <w:drawing>
              <wp:anchor distT="0" distB="0" distL="114300" distR="114300" simplePos="0" relativeHeight="251659264" behindDoc="0" locked="0" layoutInCell="1" allowOverlap="1" wp14:anchorId="2AAE55E0" wp14:editId="7D213954">
                <wp:simplePos x="0" y="0"/>
                <wp:positionH relativeFrom="column">
                  <wp:posOffset>-182245</wp:posOffset>
                </wp:positionH>
                <wp:positionV relativeFrom="paragraph">
                  <wp:posOffset>-801370</wp:posOffset>
                </wp:positionV>
                <wp:extent cx="5753735" cy="586105"/>
                <wp:effectExtent l="0" t="0" r="0" b="4445"/>
                <wp:wrapNone/>
                <wp:docPr id="19" name="Rectangle 19"/>
                <wp:cNvGraphicFramePr/>
                <a:graphic xmlns:a="http://schemas.openxmlformats.org/drawingml/2006/main">
                  <a:graphicData uri="http://schemas.microsoft.com/office/word/2010/wordprocessingShape">
                    <wps:wsp>
                      <wps:cNvSpPr/>
                      <wps:spPr>
                        <a:xfrm>
                          <a:off x="0" y="0"/>
                          <a:ext cx="5753735" cy="586105"/>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29BCFFB4" id="Rectangle 19" o:spid="_x0000_s1026" style="position:absolute;margin-left:-14.35pt;margin-top:-63.1pt;width:453.05pt;height:46.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" fillcolor="window" stroked="f" strokeweight="2pt"/>
            </w:pict>
          </mc:Fallback>
        </mc:AlternateContent>
      </w:r>
      <w:r w:rsidRPr="00D506D2">
        <w:rPr>
          <w:rFonts w:ascii="Times New Roman Bold" w:eastAsia="Calibri" w:hAnsi="Times New Roman Bold" w:cs="Times New Roman"/>
          <w:b/>
          <w:bCs/>
          <w:caps/>
          <w:kern w:val="0"/>
          <w:sz w:val="30"/>
          <w:szCs w:val="36"/>
          <w14:ligatures w14:val="none"/>
        </w:rPr>
        <w:t>Appendix A</w:t>
      </w:r>
      <w:r>
        <w:rPr>
          <w:rFonts w:ascii="Times New Roman Bold" w:eastAsia="Calibri" w:hAnsi="Times New Roman Bold" w:cs="Times New Roman"/>
          <w:b/>
          <w:bCs/>
          <w:caps/>
          <w:kern w:val="0"/>
          <w:sz w:val="30"/>
          <w:szCs w:val="36"/>
          <w14:ligatures w14:val="none"/>
        </w:rPr>
        <w:t>1</w:t>
      </w:r>
      <w:r w:rsidRPr="00D506D2">
        <w:rPr>
          <w:rFonts w:ascii="Times New Roman Bold" w:eastAsia="Calibri" w:hAnsi="Times New Roman Bold" w:cs="Times New Roman"/>
          <w:b/>
          <w:bCs/>
          <w:caps/>
          <w:kern w:val="0"/>
          <w:sz w:val="30"/>
          <w:szCs w:val="36"/>
          <w14:ligatures w14:val="none"/>
        </w:rPr>
        <w:t>.1</w:t>
      </w:r>
    </w:p>
    <w:p w14:paraId="3791EA4F" w14:textId="77777777" w:rsidR="00D506D2" w:rsidRPr="00D506D2" w:rsidRDefault="00D506D2" w:rsidP="00D506D2">
      <w:pPr>
        <w:pBdr>
          <w:bottom w:val="thickThinSmallGap" w:sz="24" w:space="1" w:color="auto"/>
        </w:pBdr>
        <w:tabs>
          <w:tab w:val="left" w:pos="1530"/>
          <w:tab w:val="left" w:pos="1800"/>
        </w:tabs>
        <w:spacing w:after="200" w:line="240" w:lineRule="auto"/>
        <w:jc w:val="center"/>
        <w:rPr>
          <w:rFonts w:ascii="Times New Roman Bold" w:eastAsia="Calibri" w:hAnsi="Times New Roman Bold" w:cs="Times New Roman"/>
          <w:b/>
          <w:bCs/>
          <w:caps/>
          <w:kern w:val="0"/>
          <w:sz w:val="30"/>
          <w:szCs w:val="36"/>
          <w14:ligatures w14:val="none"/>
        </w:rPr>
      </w:pPr>
      <w:r w:rsidRPr="00D506D2">
        <w:rPr>
          <w:rFonts w:ascii="Times New Roman Bold" w:eastAsia="Calibri" w:hAnsi="Times New Roman Bold" w:cs="Times New Roman"/>
          <w:b/>
          <w:bCs/>
          <w:caps/>
          <w:kern w:val="0"/>
          <w:sz w:val="30"/>
          <w:szCs w:val="36"/>
          <w14:ligatures w14:val="none"/>
        </w:rPr>
        <w:t xml:space="preserve">Cryptocurrency Description Table </w:t>
      </w:r>
    </w:p>
    <w:tbl>
      <w:tblPr>
        <w:tblStyle w:val="TableGrid3"/>
        <w:tblW w:w="5000" w:type="pct"/>
        <w:tblLook w:val="04A0" w:firstRow="1" w:lastRow="0" w:firstColumn="1" w:lastColumn="0" w:noHBand="0" w:noVBand="1"/>
      </w:tblPr>
      <w:tblGrid>
        <w:gridCol w:w="916"/>
        <w:gridCol w:w="1095"/>
        <w:gridCol w:w="896"/>
        <w:gridCol w:w="1850"/>
        <w:gridCol w:w="1232"/>
        <w:gridCol w:w="1675"/>
        <w:gridCol w:w="1352"/>
      </w:tblGrid>
      <w:tr w:rsidR="00D506D2" w:rsidRPr="00D506D2" w14:paraId="37853BE9" w14:textId="77777777" w:rsidTr="00A86EE4">
        <w:trPr>
          <w:cantSplit/>
        </w:trPr>
        <w:tc>
          <w:tcPr>
            <w:tcW w:w="508" w:type="pct"/>
          </w:tcPr>
          <w:p w14:paraId="73D69DB5"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Open-Source Release</w:t>
            </w:r>
          </w:p>
        </w:tc>
        <w:tc>
          <w:tcPr>
            <w:tcW w:w="607" w:type="pct"/>
          </w:tcPr>
          <w:p w14:paraId="0B6D0DC3"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Crypto</w:t>
            </w:r>
          </w:p>
          <w:p w14:paraId="71B59F9E"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Currency</w:t>
            </w:r>
          </w:p>
        </w:tc>
        <w:tc>
          <w:tcPr>
            <w:tcW w:w="497" w:type="pct"/>
          </w:tcPr>
          <w:p w14:paraId="5FB96FED"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Symbol</w:t>
            </w:r>
          </w:p>
        </w:tc>
        <w:tc>
          <w:tcPr>
            <w:tcW w:w="1026" w:type="pct"/>
          </w:tcPr>
          <w:p w14:paraId="6807B6EE"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Founder</w:t>
            </w:r>
          </w:p>
        </w:tc>
        <w:tc>
          <w:tcPr>
            <w:tcW w:w="683" w:type="pct"/>
          </w:tcPr>
          <w:p w14:paraId="0B01AE84"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Hash</w:t>
            </w:r>
          </w:p>
          <w:p w14:paraId="5A90C090"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Algorithm</w:t>
            </w:r>
          </w:p>
        </w:tc>
        <w:tc>
          <w:tcPr>
            <w:tcW w:w="929" w:type="pct"/>
          </w:tcPr>
          <w:p w14:paraId="7E384081"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Programming Language of implementation</w:t>
            </w:r>
          </w:p>
        </w:tc>
        <w:tc>
          <w:tcPr>
            <w:tcW w:w="750" w:type="pct"/>
          </w:tcPr>
          <w:p w14:paraId="4F0FA028"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Consensus</w:t>
            </w:r>
          </w:p>
          <w:p w14:paraId="257FEBC9"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b/>
                <w:bCs/>
                <w:sz w:val="20"/>
                <w:szCs w:val="20"/>
              </w:rPr>
              <w:t>Mechanism</w:t>
            </w:r>
          </w:p>
        </w:tc>
      </w:tr>
      <w:tr w:rsidR="00D506D2" w:rsidRPr="00D506D2" w14:paraId="79703D15" w14:textId="77777777" w:rsidTr="00A86EE4">
        <w:trPr>
          <w:cantSplit/>
        </w:trPr>
        <w:tc>
          <w:tcPr>
            <w:tcW w:w="508" w:type="pct"/>
          </w:tcPr>
          <w:p w14:paraId="0D5834D6"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2009</w:t>
            </w:r>
          </w:p>
        </w:tc>
        <w:tc>
          <w:tcPr>
            <w:tcW w:w="607" w:type="pct"/>
          </w:tcPr>
          <w:p w14:paraId="0BEFAB65"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Bitcoin</w:t>
            </w:r>
          </w:p>
        </w:tc>
        <w:tc>
          <w:tcPr>
            <w:tcW w:w="497" w:type="pct"/>
          </w:tcPr>
          <w:p w14:paraId="048EF745"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 xml:space="preserve">BTC, </w:t>
            </w:r>
            <w:r w:rsidRPr="00D506D2">
              <w:rPr>
                <w:rFonts w:ascii="Times New Roman" w:hAnsi="Times New Roman"/>
                <w:b/>
                <w:bCs/>
                <w:sz w:val="20"/>
                <w:szCs w:val="20"/>
              </w:rPr>
              <w:t>₿</w:t>
            </w:r>
          </w:p>
        </w:tc>
        <w:tc>
          <w:tcPr>
            <w:tcW w:w="1026" w:type="pct"/>
          </w:tcPr>
          <w:p w14:paraId="7BB0C0AB"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Satoshi Nakamoto</w:t>
            </w:r>
            <w:r w:rsidRPr="00D506D2">
              <w:rPr>
                <w:rFonts w:ascii="Times New Roman" w:hAnsi="Times New Roman"/>
                <w:sz w:val="20"/>
                <w:szCs w:val="20"/>
                <w:vertAlign w:val="superscript"/>
              </w:rPr>
              <w:footnoteReference w:id="1"/>
            </w:r>
          </w:p>
        </w:tc>
        <w:tc>
          <w:tcPr>
            <w:tcW w:w="683" w:type="pct"/>
          </w:tcPr>
          <w:p w14:paraId="46DC5F93"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SHA-256d</w:t>
            </w:r>
          </w:p>
        </w:tc>
        <w:tc>
          <w:tcPr>
            <w:tcW w:w="929" w:type="pct"/>
          </w:tcPr>
          <w:p w14:paraId="0F4B6332"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C++</w:t>
            </w:r>
          </w:p>
        </w:tc>
        <w:tc>
          <w:tcPr>
            <w:tcW w:w="750" w:type="pct"/>
          </w:tcPr>
          <w:p w14:paraId="5A293201"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PoW</w:t>
            </w:r>
          </w:p>
        </w:tc>
      </w:tr>
      <w:tr w:rsidR="00D506D2" w:rsidRPr="00D506D2" w14:paraId="5AE0E47D" w14:textId="77777777" w:rsidTr="00A86EE4">
        <w:trPr>
          <w:cantSplit/>
        </w:trPr>
        <w:tc>
          <w:tcPr>
            <w:tcW w:w="508" w:type="pct"/>
          </w:tcPr>
          <w:p w14:paraId="61E43DF8"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2011</w:t>
            </w:r>
          </w:p>
        </w:tc>
        <w:tc>
          <w:tcPr>
            <w:tcW w:w="607" w:type="pct"/>
          </w:tcPr>
          <w:p w14:paraId="0C2A504D"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Litecoin</w:t>
            </w:r>
          </w:p>
        </w:tc>
        <w:tc>
          <w:tcPr>
            <w:tcW w:w="497" w:type="pct"/>
          </w:tcPr>
          <w:p w14:paraId="4E576174"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 xml:space="preserve">LTC, </w:t>
            </w:r>
            <w:r w:rsidRPr="00D506D2">
              <w:rPr>
                <w:rFonts w:ascii="Times New Roman" w:hAnsi="Times New Roman"/>
                <w:b/>
                <w:bCs/>
                <w:sz w:val="20"/>
                <w:szCs w:val="20"/>
              </w:rPr>
              <w:t>Ł</w:t>
            </w:r>
          </w:p>
        </w:tc>
        <w:tc>
          <w:tcPr>
            <w:tcW w:w="1026" w:type="pct"/>
          </w:tcPr>
          <w:p w14:paraId="094283EC"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Charlie Lee</w:t>
            </w:r>
          </w:p>
        </w:tc>
        <w:tc>
          <w:tcPr>
            <w:tcW w:w="683" w:type="pct"/>
          </w:tcPr>
          <w:p w14:paraId="57CBB3F9"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Scrypt</w:t>
            </w:r>
          </w:p>
        </w:tc>
        <w:tc>
          <w:tcPr>
            <w:tcW w:w="929" w:type="pct"/>
          </w:tcPr>
          <w:p w14:paraId="3CC43CFC"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C++</w:t>
            </w:r>
          </w:p>
        </w:tc>
        <w:tc>
          <w:tcPr>
            <w:tcW w:w="750" w:type="pct"/>
          </w:tcPr>
          <w:p w14:paraId="4F646E1B"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PoW</w:t>
            </w:r>
          </w:p>
        </w:tc>
      </w:tr>
      <w:tr w:rsidR="00D506D2" w:rsidRPr="00D506D2" w14:paraId="79C656FC" w14:textId="77777777" w:rsidTr="00A86EE4">
        <w:trPr>
          <w:cantSplit/>
        </w:trPr>
        <w:tc>
          <w:tcPr>
            <w:tcW w:w="508" w:type="pct"/>
          </w:tcPr>
          <w:p w14:paraId="00AA71B8"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2012</w:t>
            </w:r>
          </w:p>
        </w:tc>
        <w:tc>
          <w:tcPr>
            <w:tcW w:w="607" w:type="pct"/>
          </w:tcPr>
          <w:p w14:paraId="25D95F4F"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Ripple</w:t>
            </w:r>
          </w:p>
        </w:tc>
        <w:tc>
          <w:tcPr>
            <w:tcW w:w="497" w:type="pct"/>
          </w:tcPr>
          <w:p w14:paraId="1F2A2DC6"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XRP,</w:t>
            </w:r>
          </w:p>
        </w:tc>
        <w:tc>
          <w:tcPr>
            <w:tcW w:w="1026" w:type="pct"/>
          </w:tcPr>
          <w:p w14:paraId="302ABC44"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Chris Larsen &amp;</w:t>
            </w:r>
            <w:r w:rsidRPr="00D506D2">
              <w:rPr>
                <w:rFonts w:ascii="Times New Roman" w:hAnsi="Times New Roman"/>
                <w:sz w:val="20"/>
                <w:szCs w:val="20"/>
              </w:rPr>
              <w:br/>
              <w:t>Jed McCaleb</w:t>
            </w:r>
          </w:p>
        </w:tc>
        <w:tc>
          <w:tcPr>
            <w:tcW w:w="683" w:type="pct"/>
          </w:tcPr>
          <w:p w14:paraId="728548CA"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ECDSA</w:t>
            </w:r>
          </w:p>
        </w:tc>
        <w:tc>
          <w:tcPr>
            <w:tcW w:w="929" w:type="pct"/>
          </w:tcPr>
          <w:p w14:paraId="7E466BE5"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C++</w:t>
            </w:r>
          </w:p>
        </w:tc>
        <w:tc>
          <w:tcPr>
            <w:tcW w:w="750" w:type="pct"/>
          </w:tcPr>
          <w:p w14:paraId="6EA6382F"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PoW</w:t>
            </w:r>
          </w:p>
        </w:tc>
      </w:tr>
      <w:tr w:rsidR="00D506D2" w:rsidRPr="00D506D2" w14:paraId="2EE6322F" w14:textId="77777777" w:rsidTr="00A86EE4">
        <w:trPr>
          <w:cantSplit/>
        </w:trPr>
        <w:tc>
          <w:tcPr>
            <w:tcW w:w="508" w:type="pct"/>
          </w:tcPr>
          <w:p w14:paraId="490401C0"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2013</w:t>
            </w:r>
          </w:p>
        </w:tc>
        <w:tc>
          <w:tcPr>
            <w:tcW w:w="607" w:type="pct"/>
          </w:tcPr>
          <w:p w14:paraId="39C3F47F"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Dogecoin</w:t>
            </w:r>
          </w:p>
        </w:tc>
        <w:tc>
          <w:tcPr>
            <w:tcW w:w="497" w:type="pct"/>
          </w:tcPr>
          <w:p w14:paraId="2D878C7F"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 xml:space="preserve">DOGE, </w:t>
            </w:r>
            <w:r w:rsidRPr="00D506D2">
              <w:rPr>
                <w:rFonts w:ascii="Times New Roman" w:hAnsi="Times New Roman"/>
                <w:b/>
                <w:bCs/>
                <w:sz w:val="20"/>
                <w:szCs w:val="20"/>
              </w:rPr>
              <w:t>Ð</w:t>
            </w:r>
          </w:p>
        </w:tc>
        <w:tc>
          <w:tcPr>
            <w:tcW w:w="1026" w:type="pct"/>
          </w:tcPr>
          <w:p w14:paraId="4425AE3E"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Jackson Palmer</w:t>
            </w:r>
            <w:r w:rsidRPr="00D506D2">
              <w:rPr>
                <w:rFonts w:ascii="Times New Roman" w:hAnsi="Times New Roman"/>
                <w:sz w:val="20"/>
                <w:szCs w:val="20"/>
              </w:rPr>
              <w:br/>
              <w:t>&amp; Billy Markus</w:t>
            </w:r>
          </w:p>
        </w:tc>
        <w:tc>
          <w:tcPr>
            <w:tcW w:w="683" w:type="pct"/>
          </w:tcPr>
          <w:p w14:paraId="749A4CA6"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Scrypt</w:t>
            </w:r>
          </w:p>
        </w:tc>
        <w:tc>
          <w:tcPr>
            <w:tcW w:w="929" w:type="pct"/>
          </w:tcPr>
          <w:p w14:paraId="5E7B6B1F"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C++</w:t>
            </w:r>
          </w:p>
        </w:tc>
        <w:tc>
          <w:tcPr>
            <w:tcW w:w="750" w:type="pct"/>
          </w:tcPr>
          <w:p w14:paraId="3FC976FA"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PoW</w:t>
            </w:r>
          </w:p>
        </w:tc>
      </w:tr>
      <w:tr w:rsidR="00D506D2" w:rsidRPr="00D506D2" w14:paraId="539CBC93" w14:textId="77777777" w:rsidTr="00A86EE4">
        <w:trPr>
          <w:cantSplit/>
        </w:trPr>
        <w:tc>
          <w:tcPr>
            <w:tcW w:w="508" w:type="pct"/>
            <w:tcBorders>
              <w:bottom w:val="single" w:sz="4" w:space="0" w:color="auto"/>
            </w:tcBorders>
          </w:tcPr>
          <w:p w14:paraId="501FF4FD"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2015</w:t>
            </w:r>
          </w:p>
        </w:tc>
        <w:tc>
          <w:tcPr>
            <w:tcW w:w="607" w:type="pct"/>
            <w:tcBorders>
              <w:bottom w:val="single" w:sz="4" w:space="0" w:color="auto"/>
            </w:tcBorders>
          </w:tcPr>
          <w:p w14:paraId="7506656C"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Ethereum</w:t>
            </w:r>
          </w:p>
        </w:tc>
        <w:tc>
          <w:tcPr>
            <w:tcW w:w="497" w:type="pct"/>
            <w:tcBorders>
              <w:bottom w:val="single" w:sz="4" w:space="0" w:color="auto"/>
            </w:tcBorders>
          </w:tcPr>
          <w:p w14:paraId="116DE66F"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 xml:space="preserve">ETH, </w:t>
            </w:r>
            <w:r w:rsidRPr="00D506D2">
              <w:rPr>
                <w:rFonts w:ascii="Times New Roman" w:hAnsi="Times New Roman"/>
                <w:b/>
                <w:bCs/>
                <w:sz w:val="20"/>
                <w:szCs w:val="20"/>
              </w:rPr>
              <w:t>Ξ</w:t>
            </w:r>
          </w:p>
        </w:tc>
        <w:tc>
          <w:tcPr>
            <w:tcW w:w="1026" w:type="pct"/>
            <w:tcBorders>
              <w:bottom w:val="single" w:sz="4" w:space="0" w:color="auto"/>
            </w:tcBorders>
          </w:tcPr>
          <w:p w14:paraId="402DF017"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Vitalik Buterin</w:t>
            </w:r>
          </w:p>
        </w:tc>
        <w:tc>
          <w:tcPr>
            <w:tcW w:w="683" w:type="pct"/>
            <w:tcBorders>
              <w:bottom w:val="single" w:sz="4" w:space="0" w:color="auto"/>
            </w:tcBorders>
          </w:tcPr>
          <w:p w14:paraId="3D606BEF"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Ethash</w:t>
            </w:r>
          </w:p>
        </w:tc>
        <w:tc>
          <w:tcPr>
            <w:tcW w:w="929" w:type="pct"/>
            <w:tcBorders>
              <w:bottom w:val="single" w:sz="4" w:space="0" w:color="auto"/>
            </w:tcBorders>
          </w:tcPr>
          <w:p w14:paraId="371997E7" w14:textId="77777777" w:rsidR="00D506D2" w:rsidRPr="00D506D2" w:rsidRDefault="00D506D2" w:rsidP="00D506D2">
            <w:pPr>
              <w:tabs>
                <w:tab w:val="left" w:pos="540"/>
                <w:tab w:val="left" w:pos="720"/>
                <w:tab w:val="right" w:pos="9000"/>
              </w:tabs>
              <w:spacing w:before="100" w:after="100"/>
              <w:jc w:val="center"/>
              <w:rPr>
                <w:rFonts w:ascii="Times New Roman" w:hAnsi="Times New Roman"/>
                <w:sz w:val="20"/>
                <w:szCs w:val="20"/>
              </w:rPr>
            </w:pPr>
            <w:r w:rsidRPr="00D506D2">
              <w:rPr>
                <w:rFonts w:ascii="Times New Roman" w:hAnsi="Times New Roman"/>
                <w:sz w:val="20"/>
                <w:szCs w:val="20"/>
              </w:rPr>
              <w:t>C++, Go</w:t>
            </w:r>
          </w:p>
        </w:tc>
        <w:tc>
          <w:tcPr>
            <w:tcW w:w="750" w:type="pct"/>
            <w:tcBorders>
              <w:bottom w:val="single" w:sz="4" w:space="0" w:color="auto"/>
            </w:tcBorders>
          </w:tcPr>
          <w:p w14:paraId="6BE537DB" w14:textId="77777777" w:rsidR="00D506D2" w:rsidRPr="00D506D2" w:rsidRDefault="00D506D2" w:rsidP="00D506D2">
            <w:pPr>
              <w:tabs>
                <w:tab w:val="left" w:pos="540"/>
                <w:tab w:val="left" w:pos="720"/>
                <w:tab w:val="right" w:pos="9000"/>
              </w:tabs>
              <w:spacing w:before="100" w:after="100"/>
              <w:jc w:val="center"/>
              <w:rPr>
                <w:rFonts w:ascii="Times New Roman" w:hAnsi="Times New Roman"/>
                <w:b/>
                <w:bCs/>
                <w:sz w:val="20"/>
                <w:szCs w:val="20"/>
              </w:rPr>
            </w:pPr>
            <w:r w:rsidRPr="00D506D2">
              <w:rPr>
                <w:rFonts w:ascii="Times New Roman" w:hAnsi="Times New Roman"/>
                <w:sz w:val="20"/>
                <w:szCs w:val="20"/>
              </w:rPr>
              <w:t>PoW</w:t>
            </w:r>
            <w:r w:rsidRPr="00D506D2">
              <w:rPr>
                <w:rFonts w:ascii="Times New Roman" w:hAnsi="Times New Roman"/>
                <w:b/>
                <w:bCs/>
                <w:sz w:val="20"/>
                <w:szCs w:val="20"/>
              </w:rPr>
              <w:t>, </w:t>
            </w:r>
            <w:r w:rsidRPr="00D506D2">
              <w:rPr>
                <w:rFonts w:ascii="Times New Roman" w:hAnsi="Times New Roman"/>
                <w:sz w:val="20"/>
                <w:szCs w:val="20"/>
              </w:rPr>
              <w:t>PoS</w:t>
            </w:r>
          </w:p>
        </w:tc>
      </w:tr>
      <w:tr w:rsidR="00D506D2" w:rsidRPr="00D506D2" w14:paraId="4833D077" w14:textId="77777777" w:rsidTr="00A86EE4">
        <w:trPr>
          <w:cantSplit/>
        </w:trPr>
        <w:tc>
          <w:tcPr>
            <w:tcW w:w="5000" w:type="pct"/>
            <w:gridSpan w:val="7"/>
            <w:tcBorders>
              <w:left w:val="nil"/>
              <w:bottom w:val="nil"/>
              <w:right w:val="nil"/>
            </w:tcBorders>
          </w:tcPr>
          <w:p w14:paraId="3EFB4285" w14:textId="77777777" w:rsidR="00D506D2" w:rsidRPr="00D506D2" w:rsidRDefault="00D506D2" w:rsidP="00D506D2">
            <w:pPr>
              <w:tabs>
                <w:tab w:val="left" w:pos="540"/>
                <w:tab w:val="left" w:pos="720"/>
                <w:tab w:val="right" w:pos="9000"/>
              </w:tabs>
              <w:spacing w:before="100" w:after="100"/>
              <w:rPr>
                <w:rFonts w:ascii="Times New Roman" w:hAnsi="Times New Roman"/>
                <w:bCs/>
                <w:sz w:val="20"/>
                <w:szCs w:val="20"/>
              </w:rPr>
            </w:pPr>
            <w:r w:rsidRPr="00D506D2">
              <w:rPr>
                <w:rFonts w:ascii="Times New Roman" w:hAnsi="Times New Roman"/>
                <w:bCs/>
                <w:sz w:val="20"/>
                <w:szCs w:val="20"/>
              </w:rPr>
              <w:t>Source: Compiled by author from Wikipedia</w:t>
            </w:r>
          </w:p>
        </w:tc>
      </w:tr>
    </w:tbl>
    <w:p w14:paraId="06D15181" w14:textId="77777777" w:rsidR="00D506D2" w:rsidRPr="00D506D2" w:rsidRDefault="00D506D2" w:rsidP="00D506D2">
      <w:pPr>
        <w:tabs>
          <w:tab w:val="left" w:pos="540"/>
          <w:tab w:val="left" w:pos="720"/>
          <w:tab w:val="right" w:pos="9000"/>
        </w:tabs>
        <w:spacing w:after="200" w:line="360" w:lineRule="auto"/>
        <w:jc w:val="center"/>
        <w:rPr>
          <w:rFonts w:ascii="Times New Roman" w:eastAsia="Calibri" w:hAnsi="Times New Roman" w:cs="Times New Roman"/>
          <w:b/>
          <w:bCs/>
          <w:kern w:val="0"/>
          <w14:ligatures w14:val="none"/>
        </w:rPr>
      </w:pPr>
    </w:p>
    <w:p w14:paraId="27308766" w14:textId="77777777" w:rsidR="00D506D2" w:rsidRPr="00D506D2" w:rsidRDefault="00D506D2" w:rsidP="00D506D2">
      <w:pPr>
        <w:tabs>
          <w:tab w:val="left" w:pos="540"/>
          <w:tab w:val="left" w:pos="720"/>
          <w:tab w:val="right" w:pos="9000"/>
        </w:tabs>
        <w:spacing w:after="200" w:line="360" w:lineRule="auto"/>
        <w:jc w:val="both"/>
        <w:rPr>
          <w:rFonts w:ascii="Times New Roman" w:eastAsia="Calibri" w:hAnsi="Times New Roman" w:cs="Times New Roman"/>
          <w:kern w:val="0"/>
          <w:sz w:val="24"/>
          <w:szCs w:val="24"/>
          <w14:ligatures w14:val="none"/>
        </w:rPr>
      </w:pPr>
      <w:r w:rsidRPr="00D506D2">
        <w:rPr>
          <w:rFonts w:ascii="Times New Roman" w:eastAsia="Calibri" w:hAnsi="Times New Roman" w:cs="Times New Roman"/>
          <w:kern w:val="0"/>
          <w:sz w:val="24"/>
          <w:szCs w:val="24"/>
          <w14:ligatures w14:val="none"/>
        </w:rPr>
        <w:t xml:space="preserve">The fundamental problem with distributed computing and multi-agent systems is to achieve overall system reliability in the presence of numerous defective processes. This often requires a tuning process to reach consensus or to agree on the data values ​​needed during the calculation. Blockchain is one of the practical applications of consensus mechanism. A blockchain is an increasing list of records, called blocks, that are linked to each other using encryption. Each block contains the cryptographic </w:t>
      </w:r>
      <w:bookmarkStart w:id="0" w:name="con"/>
      <w:r w:rsidRPr="00D506D2">
        <w:rPr>
          <w:rFonts w:ascii="Times New Roman" w:eastAsia="Calibri" w:hAnsi="Times New Roman" w:cs="Times New Roman"/>
          <w:kern w:val="0"/>
          <w:sz w:val="24"/>
          <w:szCs w:val="24"/>
          <w14:ligatures w14:val="none"/>
        </w:rPr>
        <w:t>hash</w:t>
      </w:r>
      <w:bookmarkEnd w:id="0"/>
      <w:r w:rsidRPr="00D506D2">
        <w:rPr>
          <w:rFonts w:ascii="Times New Roman" w:eastAsia="Calibri" w:hAnsi="Times New Roman" w:cs="Times New Roman"/>
          <w:kern w:val="0"/>
          <w:sz w:val="24"/>
          <w:szCs w:val="24"/>
          <w14:ligatures w14:val="none"/>
        </w:rPr>
        <w:t>, timestamp, and transaction data of the previous block. Hash functions take input as a key associated with a date or record and are used to identify it to data storage and capture applications. A good hash function has two basic characteristics. 1) The calculation should be very fast. 2) It is necessary to minimize duplication (collision) of output values.</w:t>
      </w:r>
    </w:p>
    <w:p w14:paraId="0BC71D1D" w14:textId="77777777" w:rsidR="00D506D2" w:rsidRPr="00D506D2" w:rsidRDefault="00D506D2" w:rsidP="00D506D2">
      <w:pPr>
        <w:tabs>
          <w:tab w:val="left" w:pos="540"/>
          <w:tab w:val="left" w:pos="720"/>
          <w:tab w:val="right" w:pos="9000"/>
        </w:tabs>
        <w:spacing w:after="200" w:line="360" w:lineRule="auto"/>
        <w:jc w:val="both"/>
        <w:rPr>
          <w:rFonts w:ascii="Times New Roman" w:eastAsia="Calibri" w:hAnsi="Times New Roman" w:cs="Times New Roman"/>
          <w:kern w:val="0"/>
          <w:sz w:val="24"/>
          <w:szCs w:val="24"/>
          <w14:ligatures w14:val="none"/>
        </w:rPr>
      </w:pPr>
      <w:r w:rsidRPr="00D506D2">
        <w:rPr>
          <w:rFonts w:ascii="Times New Roman" w:eastAsia="Calibri" w:hAnsi="Times New Roman" w:cs="Times New Roman"/>
          <w:kern w:val="0"/>
          <w:sz w:val="24"/>
          <w:szCs w:val="24"/>
          <w14:ligatures w14:val="none"/>
        </w:rPr>
        <w:t>Proof of work (PoW) is a form of cryptographic evidence that proves that one party (prover) ​​has spent a certain amount of computational work on another party (verifier). Experts can then confirm this with little effort. This concept was created in 1999 by Jakobsson &amp; Juels (1999) to prevent the abuse of other services such as denial of service attacks and spam on the network by requiring the service requester to do some work (usually computer processing time).</w:t>
      </w:r>
    </w:p>
    <w:p w14:paraId="70B498D4" w14:textId="77777777" w:rsidR="00D506D2" w:rsidRPr="00D506D2" w:rsidRDefault="00D506D2" w:rsidP="00D506D2">
      <w:pPr>
        <w:tabs>
          <w:tab w:val="left" w:pos="540"/>
          <w:tab w:val="left" w:pos="720"/>
          <w:tab w:val="right" w:pos="9000"/>
        </w:tabs>
        <w:spacing w:after="200" w:line="360" w:lineRule="auto"/>
        <w:jc w:val="both"/>
        <w:rPr>
          <w:rFonts w:ascii="Times New Roman" w:eastAsia="Calibri" w:hAnsi="Times New Roman" w:cs="Times New Roman"/>
          <w:kern w:val="0"/>
          <w:sz w:val="24"/>
          <w:szCs w:val="24"/>
          <w14:ligatures w14:val="none"/>
        </w:rPr>
      </w:pPr>
      <w:r w:rsidRPr="00D506D2">
        <w:rPr>
          <w:rFonts w:ascii="Times New Roman" w:eastAsia="Calibri" w:hAnsi="Times New Roman" w:cs="Times New Roman"/>
          <w:kern w:val="0"/>
          <w:sz w:val="24"/>
          <w:szCs w:val="24"/>
          <w14:ligatures w14:val="none"/>
        </w:rPr>
        <w:lastRenderedPageBreak/>
        <w:t>The Proof of Stake (PoS) protocol is a class of blockchain consensus mechanism that works by selecting validators in proportion to the holdings of the associated cryptocurrency. In contrast to the Proof of Work (PoW) protocol, PoS systems do not provide incentives for extreme amounts of work. The first practical use of PoS for cryptocurrencies was Peercoin in 2012.</w:t>
      </w:r>
    </w:p>
    <w:p w14:paraId="5B57FF2A"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bookmarkStart w:id="1" w:name="_Hlk90414205"/>
      <w:bookmarkStart w:id="2" w:name="_Hlk90349907"/>
      <w:r w:rsidRPr="00D506D2">
        <w:rPr>
          <w:rFonts w:ascii="Times New Roman" w:eastAsia="Calibri" w:hAnsi="Times New Roman" w:cs="Times New Roman"/>
          <w:b/>
          <w:bCs/>
          <w:kern w:val="0"/>
          <w:sz w:val="20"/>
          <w:szCs w:val="20"/>
          <w14:ligatures w14:val="none"/>
        </w:rPr>
        <w:tab/>
      </w:r>
    </w:p>
    <w:p w14:paraId="59E4DBBA"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3BCE56DF"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75E77CDA"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4CADC136"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40DA24EF"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0BC7C962"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0A855EF1"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3997E8B7"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13C791EB"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6A35AB40"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27F7B003"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64281CEF"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71EADF5A"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5A877A6D"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1A7095D2"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6C30542E"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151A6013" w14:textId="77777777" w:rsidR="00D506D2" w:rsidRPr="00D506D2" w:rsidRDefault="00D506D2" w:rsidP="00D506D2">
      <w:pPr>
        <w:tabs>
          <w:tab w:val="left" w:pos="540"/>
          <w:tab w:val="left" w:pos="720"/>
          <w:tab w:val="left" w:pos="1572"/>
          <w:tab w:val="right" w:pos="9000"/>
        </w:tabs>
        <w:spacing w:after="200" w:line="360" w:lineRule="auto"/>
        <w:rPr>
          <w:rFonts w:ascii="Times New Roman" w:eastAsia="Calibri" w:hAnsi="Times New Roman" w:cs="Times New Roman"/>
          <w:b/>
          <w:bCs/>
          <w:kern w:val="0"/>
          <w:sz w:val="20"/>
          <w:szCs w:val="20"/>
          <w14:ligatures w14:val="none"/>
        </w:rPr>
      </w:pPr>
    </w:p>
    <w:p w14:paraId="2FE47A04" w14:textId="5D87790B" w:rsidR="00D506D2" w:rsidRPr="00D506D2" w:rsidRDefault="00D506D2" w:rsidP="00D506D2">
      <w:pPr>
        <w:pBdr>
          <w:bottom w:val="thickThinSmallGap" w:sz="24" w:space="1" w:color="auto"/>
        </w:pBdr>
        <w:tabs>
          <w:tab w:val="left" w:pos="1530"/>
          <w:tab w:val="left" w:pos="1800"/>
        </w:tabs>
        <w:spacing w:after="200" w:line="240" w:lineRule="auto"/>
        <w:jc w:val="center"/>
        <w:rPr>
          <w:rFonts w:ascii="Times New Roman Bold" w:eastAsia="Calibri" w:hAnsi="Times New Roman Bold" w:cs="Times New Roman"/>
          <w:b/>
          <w:bCs/>
          <w:caps/>
          <w:kern w:val="0"/>
          <w:sz w:val="30"/>
          <w:szCs w:val="36"/>
          <w14:ligatures w14:val="none"/>
        </w:rPr>
      </w:pPr>
      <w:r w:rsidRPr="00D506D2">
        <w:rPr>
          <w:rFonts w:ascii="Times New Roman Bold" w:eastAsia="Calibri" w:hAnsi="Times New Roman Bold" w:cs="Times New Roman"/>
          <w:b/>
          <w:bCs/>
          <w:noProof/>
          <w:kern w:val="0"/>
          <w:sz w:val="30"/>
          <w:szCs w:val="36"/>
          <w:lang w:val="en-US"/>
          <w14:ligatures w14:val="none"/>
        </w:rPr>
        <mc:AlternateContent>
          <mc:Choice Requires="wps">
            <w:drawing>
              <wp:anchor distT="0" distB="0" distL="114300" distR="114300" simplePos="0" relativeHeight="251660288" behindDoc="0" locked="0" layoutInCell="1" allowOverlap="1" wp14:anchorId="7EA14C3D" wp14:editId="0CF6C2C3">
                <wp:simplePos x="0" y="0"/>
                <wp:positionH relativeFrom="column">
                  <wp:posOffset>-182245</wp:posOffset>
                </wp:positionH>
                <wp:positionV relativeFrom="paragraph">
                  <wp:posOffset>-801370</wp:posOffset>
                </wp:positionV>
                <wp:extent cx="5753735" cy="586105"/>
                <wp:effectExtent l="0" t="0" r="0" b="4445"/>
                <wp:wrapNone/>
                <wp:docPr id="20" name="Rectangle 20"/>
                <wp:cNvGraphicFramePr/>
                <a:graphic xmlns:a="http://schemas.openxmlformats.org/drawingml/2006/main">
                  <a:graphicData uri="http://schemas.microsoft.com/office/word/2010/wordprocessingShape">
                    <wps:wsp>
                      <wps:cNvSpPr/>
                      <wps:spPr>
                        <a:xfrm>
                          <a:off x="0" y="0"/>
                          <a:ext cx="5753735" cy="586105"/>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73DE606F" id="Rectangle 20" o:spid="_x0000_s1026" style="position:absolute;margin-left:-14.35pt;margin-top:-63.1pt;width:453.05pt;height:46.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" fillcolor="window" stroked="f" strokeweight="2pt"/>
            </w:pict>
          </mc:Fallback>
        </mc:AlternateContent>
      </w:r>
      <w:r w:rsidRPr="00D506D2">
        <w:rPr>
          <w:rFonts w:ascii="Times New Roman Bold" w:eastAsia="Calibri" w:hAnsi="Times New Roman Bold" w:cs="Times New Roman"/>
          <w:b/>
          <w:bCs/>
          <w:caps/>
          <w:kern w:val="0"/>
          <w:sz w:val="30"/>
          <w:szCs w:val="36"/>
          <w14:ligatures w14:val="none"/>
        </w:rPr>
        <w:t>Appendix A</w:t>
      </w:r>
      <w:r>
        <w:rPr>
          <w:rFonts w:ascii="Times New Roman Bold" w:eastAsia="Calibri" w:hAnsi="Times New Roman Bold" w:cs="Times New Roman"/>
          <w:b/>
          <w:bCs/>
          <w:caps/>
          <w:kern w:val="0"/>
          <w:sz w:val="30"/>
          <w:szCs w:val="36"/>
          <w14:ligatures w14:val="none"/>
        </w:rPr>
        <w:t>1.2</w:t>
      </w:r>
    </w:p>
    <w:p w14:paraId="6B29BF5F" w14:textId="77777777" w:rsidR="00D506D2" w:rsidRPr="00D506D2" w:rsidRDefault="00D506D2" w:rsidP="00D506D2">
      <w:pPr>
        <w:pBdr>
          <w:bottom w:val="thickThinSmallGap" w:sz="24" w:space="1" w:color="auto"/>
        </w:pBdr>
        <w:tabs>
          <w:tab w:val="left" w:pos="1530"/>
          <w:tab w:val="left" w:pos="1800"/>
        </w:tabs>
        <w:spacing w:after="200" w:line="240" w:lineRule="auto"/>
        <w:jc w:val="center"/>
        <w:rPr>
          <w:rFonts w:ascii="Times New Roman Bold" w:eastAsia="Calibri" w:hAnsi="Times New Roman Bold" w:cs="Times New Roman"/>
          <w:b/>
          <w:bCs/>
          <w:caps/>
          <w:kern w:val="0"/>
          <w:sz w:val="30"/>
          <w:szCs w:val="36"/>
          <w14:ligatures w14:val="none"/>
        </w:rPr>
      </w:pPr>
      <w:r w:rsidRPr="00D506D2">
        <w:rPr>
          <w:rFonts w:ascii="Times New Roman Bold" w:eastAsia="Calibri" w:hAnsi="Times New Roman Bold" w:cs="Times New Roman"/>
          <w:b/>
          <w:bCs/>
          <w:caps/>
          <w:kern w:val="0"/>
          <w:sz w:val="30"/>
          <w:szCs w:val="36"/>
          <w14:ligatures w14:val="none"/>
        </w:rPr>
        <w:t xml:space="preserve">List of Variables and their Order of Integration </w:t>
      </w:r>
    </w:p>
    <w:bookmarkEnd w:id="1"/>
    <w:p w14:paraId="3B9F8A23" w14:textId="77777777" w:rsidR="00D506D2" w:rsidRPr="00D506D2" w:rsidRDefault="00D506D2" w:rsidP="00D506D2">
      <w:pPr>
        <w:tabs>
          <w:tab w:val="left" w:pos="540"/>
          <w:tab w:val="left" w:pos="720"/>
          <w:tab w:val="right" w:pos="9000"/>
        </w:tabs>
        <w:spacing w:after="200" w:line="360" w:lineRule="auto"/>
        <w:jc w:val="center"/>
        <w:rPr>
          <w:rFonts w:ascii="Times New Roman" w:eastAsia="Calibri" w:hAnsi="Times New Roman" w:cs="Times New Roman"/>
          <w:b/>
          <w:bCs/>
          <w:kern w:val="0"/>
          <w:sz w:val="6"/>
          <w:szCs w:val="28"/>
          <w14:ligatures w14:val="none"/>
        </w:rPr>
      </w:pPr>
    </w:p>
    <w:tbl>
      <w:tblPr>
        <w:tblStyle w:val="TableGrid3"/>
        <w:tblW w:w="0" w:type="auto"/>
        <w:tblInd w:w="-360" w:type="dxa"/>
        <w:tblLook w:val="04A0" w:firstRow="1" w:lastRow="0" w:firstColumn="1" w:lastColumn="0" w:noHBand="0" w:noVBand="1"/>
      </w:tblPr>
      <w:tblGrid>
        <w:gridCol w:w="1368"/>
        <w:gridCol w:w="1800"/>
        <w:gridCol w:w="2528"/>
        <w:gridCol w:w="3186"/>
      </w:tblGrid>
      <w:tr w:rsidR="00D506D2" w:rsidRPr="00D506D2" w14:paraId="3EF19B85" w14:textId="77777777" w:rsidTr="00A86EE4">
        <w:tc>
          <w:tcPr>
            <w:tcW w:w="1368" w:type="dxa"/>
          </w:tcPr>
          <w:bookmarkEnd w:id="2"/>
          <w:p w14:paraId="72832678" w14:textId="77777777" w:rsidR="00D506D2" w:rsidRPr="00D506D2" w:rsidRDefault="00D506D2" w:rsidP="00D506D2">
            <w:pPr>
              <w:tabs>
                <w:tab w:val="left" w:pos="540"/>
                <w:tab w:val="left" w:pos="720"/>
                <w:tab w:val="right" w:pos="9000"/>
              </w:tabs>
              <w:spacing w:before="80" w:after="80"/>
              <w:jc w:val="center"/>
              <w:rPr>
                <w:rFonts w:ascii="Times New Roman" w:hAnsi="Times New Roman"/>
                <w:b/>
                <w:bCs/>
                <w:sz w:val="20"/>
                <w:szCs w:val="20"/>
              </w:rPr>
            </w:pPr>
            <w:r w:rsidRPr="00D506D2">
              <w:rPr>
                <w:rFonts w:ascii="Times New Roman" w:hAnsi="Times New Roman"/>
                <w:b/>
                <w:bCs/>
                <w:sz w:val="20"/>
                <w:szCs w:val="20"/>
              </w:rPr>
              <w:t>S. No.</w:t>
            </w:r>
          </w:p>
        </w:tc>
        <w:tc>
          <w:tcPr>
            <w:tcW w:w="1800" w:type="dxa"/>
          </w:tcPr>
          <w:p w14:paraId="2C67CDEB" w14:textId="77777777" w:rsidR="00D506D2" w:rsidRPr="00D506D2" w:rsidRDefault="00D506D2" w:rsidP="00D506D2">
            <w:pPr>
              <w:tabs>
                <w:tab w:val="left" w:pos="540"/>
                <w:tab w:val="left" w:pos="720"/>
                <w:tab w:val="right" w:pos="9000"/>
              </w:tabs>
              <w:spacing w:before="80" w:after="80"/>
              <w:jc w:val="center"/>
              <w:rPr>
                <w:rFonts w:ascii="Times New Roman" w:hAnsi="Times New Roman"/>
                <w:b/>
                <w:bCs/>
                <w:sz w:val="20"/>
                <w:szCs w:val="20"/>
              </w:rPr>
            </w:pPr>
            <w:r w:rsidRPr="00D506D2">
              <w:rPr>
                <w:rFonts w:ascii="Times New Roman" w:hAnsi="Times New Roman"/>
                <w:b/>
                <w:bCs/>
                <w:sz w:val="20"/>
                <w:szCs w:val="20"/>
              </w:rPr>
              <w:t>Variable</w:t>
            </w:r>
          </w:p>
        </w:tc>
        <w:tc>
          <w:tcPr>
            <w:tcW w:w="2528" w:type="dxa"/>
          </w:tcPr>
          <w:p w14:paraId="255381D2" w14:textId="77777777" w:rsidR="00D506D2" w:rsidRPr="00D506D2" w:rsidRDefault="00D506D2" w:rsidP="00D506D2">
            <w:pPr>
              <w:tabs>
                <w:tab w:val="left" w:pos="540"/>
                <w:tab w:val="left" w:pos="720"/>
                <w:tab w:val="right" w:pos="9000"/>
              </w:tabs>
              <w:spacing w:before="80" w:after="80"/>
              <w:jc w:val="center"/>
              <w:rPr>
                <w:rFonts w:ascii="Times New Roman" w:hAnsi="Times New Roman"/>
                <w:b/>
                <w:bCs/>
                <w:sz w:val="20"/>
                <w:szCs w:val="20"/>
              </w:rPr>
            </w:pPr>
            <w:r w:rsidRPr="00D506D2">
              <w:rPr>
                <w:rFonts w:ascii="Times New Roman" w:hAnsi="Times New Roman"/>
                <w:b/>
                <w:bCs/>
                <w:sz w:val="20"/>
                <w:szCs w:val="20"/>
              </w:rPr>
              <w:t>Order of Integration</w:t>
            </w:r>
          </w:p>
        </w:tc>
        <w:tc>
          <w:tcPr>
            <w:tcW w:w="3186" w:type="dxa"/>
          </w:tcPr>
          <w:p w14:paraId="0FA819C7" w14:textId="77777777" w:rsidR="00D506D2" w:rsidRPr="00D506D2" w:rsidRDefault="00D506D2" w:rsidP="00D506D2">
            <w:pPr>
              <w:tabs>
                <w:tab w:val="left" w:pos="540"/>
                <w:tab w:val="left" w:pos="720"/>
                <w:tab w:val="right" w:pos="9000"/>
              </w:tabs>
              <w:spacing w:before="80" w:after="80"/>
              <w:jc w:val="center"/>
              <w:rPr>
                <w:rFonts w:ascii="Times New Roman" w:hAnsi="Times New Roman"/>
                <w:b/>
                <w:bCs/>
                <w:sz w:val="20"/>
                <w:szCs w:val="20"/>
              </w:rPr>
            </w:pPr>
            <w:r w:rsidRPr="00D506D2">
              <w:rPr>
                <w:rFonts w:ascii="Times New Roman" w:hAnsi="Times New Roman"/>
                <w:b/>
                <w:bCs/>
                <w:sz w:val="20"/>
                <w:szCs w:val="20"/>
              </w:rPr>
              <w:t>Details of Variable</w:t>
            </w:r>
          </w:p>
        </w:tc>
      </w:tr>
      <w:tr w:rsidR="00D506D2" w:rsidRPr="00D506D2" w14:paraId="4185A575" w14:textId="77777777" w:rsidTr="00A86EE4">
        <w:tc>
          <w:tcPr>
            <w:tcW w:w="8882" w:type="dxa"/>
            <w:gridSpan w:val="4"/>
          </w:tcPr>
          <w:p w14:paraId="55E807F2"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b/>
                <w:bCs/>
                <w:sz w:val="20"/>
                <w:szCs w:val="20"/>
              </w:rPr>
              <w:lastRenderedPageBreak/>
              <w:t>MONEY SUPPLY FACTOR</w:t>
            </w:r>
          </w:p>
        </w:tc>
      </w:tr>
      <w:tr w:rsidR="00D506D2" w:rsidRPr="00D506D2" w14:paraId="70A16BCB" w14:textId="77777777" w:rsidTr="00A86EE4">
        <w:tc>
          <w:tcPr>
            <w:tcW w:w="1368" w:type="dxa"/>
          </w:tcPr>
          <w:p w14:paraId="3F294B7A"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1</w:t>
            </w:r>
          </w:p>
        </w:tc>
        <w:tc>
          <w:tcPr>
            <w:tcW w:w="1800" w:type="dxa"/>
          </w:tcPr>
          <w:p w14:paraId="2E415639"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CC</w:t>
            </w:r>
          </w:p>
        </w:tc>
        <w:tc>
          <w:tcPr>
            <w:tcW w:w="2528" w:type="dxa"/>
          </w:tcPr>
          <w:p w14:paraId="1B958673"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5253B707"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Currency in Circulation</w:t>
            </w:r>
          </w:p>
        </w:tc>
      </w:tr>
      <w:tr w:rsidR="00D506D2" w:rsidRPr="00D506D2" w14:paraId="79FC22D1" w14:textId="77777777" w:rsidTr="00A86EE4">
        <w:tc>
          <w:tcPr>
            <w:tcW w:w="1368" w:type="dxa"/>
          </w:tcPr>
          <w:p w14:paraId="7BB14C4B"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2</w:t>
            </w:r>
          </w:p>
        </w:tc>
        <w:tc>
          <w:tcPr>
            <w:tcW w:w="1800" w:type="dxa"/>
          </w:tcPr>
          <w:p w14:paraId="5BC8DBB2"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CB</w:t>
            </w:r>
          </w:p>
        </w:tc>
        <w:tc>
          <w:tcPr>
            <w:tcW w:w="2528" w:type="dxa"/>
          </w:tcPr>
          <w:p w14:paraId="43A11EA5"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172177C3"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Currency with Banks</w:t>
            </w:r>
          </w:p>
        </w:tc>
      </w:tr>
      <w:tr w:rsidR="00D506D2" w:rsidRPr="00D506D2" w14:paraId="515AC903" w14:textId="77777777" w:rsidTr="00A86EE4">
        <w:tc>
          <w:tcPr>
            <w:tcW w:w="1368" w:type="dxa"/>
          </w:tcPr>
          <w:p w14:paraId="58D0A7DB"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3</w:t>
            </w:r>
          </w:p>
        </w:tc>
        <w:tc>
          <w:tcPr>
            <w:tcW w:w="1800" w:type="dxa"/>
          </w:tcPr>
          <w:p w14:paraId="57C4672E"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CP</w:t>
            </w:r>
          </w:p>
        </w:tc>
        <w:tc>
          <w:tcPr>
            <w:tcW w:w="2528" w:type="dxa"/>
          </w:tcPr>
          <w:p w14:paraId="24B73BC2"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247C5878"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Currency with Public</w:t>
            </w:r>
          </w:p>
        </w:tc>
      </w:tr>
      <w:tr w:rsidR="00D506D2" w:rsidRPr="00D506D2" w14:paraId="7E2A3D48" w14:textId="77777777" w:rsidTr="00A86EE4">
        <w:tc>
          <w:tcPr>
            <w:tcW w:w="1368" w:type="dxa"/>
          </w:tcPr>
          <w:p w14:paraId="22DE54A1"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4</w:t>
            </w:r>
          </w:p>
        </w:tc>
        <w:tc>
          <w:tcPr>
            <w:tcW w:w="1800" w:type="dxa"/>
          </w:tcPr>
          <w:p w14:paraId="4661647A"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OD RBI</w:t>
            </w:r>
          </w:p>
        </w:tc>
        <w:tc>
          <w:tcPr>
            <w:tcW w:w="2528" w:type="dxa"/>
          </w:tcPr>
          <w:p w14:paraId="21587ACF"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5A6C0C8C"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Other Deposits with RBI</w:t>
            </w:r>
          </w:p>
        </w:tc>
      </w:tr>
      <w:tr w:rsidR="00D506D2" w:rsidRPr="00D506D2" w14:paraId="3C8D077C" w14:textId="77777777" w:rsidTr="00A86EE4">
        <w:tc>
          <w:tcPr>
            <w:tcW w:w="1368" w:type="dxa"/>
          </w:tcPr>
          <w:p w14:paraId="357DFEF9"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5</w:t>
            </w:r>
          </w:p>
        </w:tc>
        <w:tc>
          <w:tcPr>
            <w:tcW w:w="1800" w:type="dxa"/>
          </w:tcPr>
          <w:p w14:paraId="3DAB6E33"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BD RBI</w:t>
            </w:r>
          </w:p>
        </w:tc>
        <w:tc>
          <w:tcPr>
            <w:tcW w:w="2528" w:type="dxa"/>
          </w:tcPr>
          <w:p w14:paraId="74AF68E6"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08583F9C"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Banker’s Deposit with RBI</w:t>
            </w:r>
          </w:p>
        </w:tc>
      </w:tr>
      <w:tr w:rsidR="00D506D2" w:rsidRPr="00D506D2" w14:paraId="3A4B649B" w14:textId="77777777" w:rsidTr="00A86EE4">
        <w:tc>
          <w:tcPr>
            <w:tcW w:w="1368" w:type="dxa"/>
          </w:tcPr>
          <w:p w14:paraId="0964E24A"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6</w:t>
            </w:r>
          </w:p>
        </w:tc>
        <w:tc>
          <w:tcPr>
            <w:tcW w:w="1800" w:type="dxa"/>
          </w:tcPr>
          <w:p w14:paraId="7E49D3DF"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DD</w:t>
            </w:r>
          </w:p>
        </w:tc>
        <w:tc>
          <w:tcPr>
            <w:tcW w:w="2528" w:type="dxa"/>
          </w:tcPr>
          <w:p w14:paraId="71520B8B"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7391C54F"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Demand Deposits</w:t>
            </w:r>
          </w:p>
        </w:tc>
      </w:tr>
      <w:tr w:rsidR="00D506D2" w:rsidRPr="00D506D2" w14:paraId="6D14F520" w14:textId="77777777" w:rsidTr="00A86EE4">
        <w:tc>
          <w:tcPr>
            <w:tcW w:w="1368" w:type="dxa"/>
          </w:tcPr>
          <w:p w14:paraId="795F605A"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7</w:t>
            </w:r>
          </w:p>
        </w:tc>
        <w:tc>
          <w:tcPr>
            <w:tcW w:w="1800" w:type="dxa"/>
          </w:tcPr>
          <w:p w14:paraId="5B0058ED"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TD</w:t>
            </w:r>
          </w:p>
        </w:tc>
        <w:tc>
          <w:tcPr>
            <w:tcW w:w="2528" w:type="dxa"/>
          </w:tcPr>
          <w:p w14:paraId="37605C3B"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06BF1F00"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Time Deposits</w:t>
            </w:r>
          </w:p>
        </w:tc>
      </w:tr>
      <w:tr w:rsidR="00D506D2" w:rsidRPr="00D506D2" w14:paraId="2886C774" w14:textId="77777777" w:rsidTr="00A86EE4">
        <w:tc>
          <w:tcPr>
            <w:tcW w:w="1368" w:type="dxa"/>
          </w:tcPr>
          <w:p w14:paraId="580CBA52"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8</w:t>
            </w:r>
          </w:p>
        </w:tc>
        <w:tc>
          <w:tcPr>
            <w:tcW w:w="1800" w:type="dxa"/>
          </w:tcPr>
          <w:p w14:paraId="7B54B2A1"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M1</w:t>
            </w:r>
          </w:p>
        </w:tc>
        <w:tc>
          <w:tcPr>
            <w:tcW w:w="2528" w:type="dxa"/>
          </w:tcPr>
          <w:p w14:paraId="7B55B854"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228D79CF"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Reserve Money (Narrow Money)</w:t>
            </w:r>
          </w:p>
        </w:tc>
      </w:tr>
      <w:tr w:rsidR="00D506D2" w:rsidRPr="00D506D2" w14:paraId="0B95B1FC" w14:textId="77777777" w:rsidTr="00A86EE4">
        <w:tc>
          <w:tcPr>
            <w:tcW w:w="1368" w:type="dxa"/>
          </w:tcPr>
          <w:p w14:paraId="559E6B08"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9</w:t>
            </w:r>
          </w:p>
        </w:tc>
        <w:tc>
          <w:tcPr>
            <w:tcW w:w="1800" w:type="dxa"/>
          </w:tcPr>
          <w:p w14:paraId="397CED18"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M2</w:t>
            </w:r>
          </w:p>
        </w:tc>
        <w:tc>
          <w:tcPr>
            <w:tcW w:w="2528" w:type="dxa"/>
          </w:tcPr>
          <w:p w14:paraId="08A08DBC"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126A1AE0"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Narrow Money</w:t>
            </w:r>
          </w:p>
        </w:tc>
      </w:tr>
      <w:tr w:rsidR="00D506D2" w:rsidRPr="00D506D2" w14:paraId="497357E8" w14:textId="77777777" w:rsidTr="00A86EE4">
        <w:tc>
          <w:tcPr>
            <w:tcW w:w="1368" w:type="dxa"/>
          </w:tcPr>
          <w:p w14:paraId="08D9C347"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10</w:t>
            </w:r>
          </w:p>
        </w:tc>
        <w:tc>
          <w:tcPr>
            <w:tcW w:w="1800" w:type="dxa"/>
          </w:tcPr>
          <w:p w14:paraId="25252D26"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M3</w:t>
            </w:r>
          </w:p>
        </w:tc>
        <w:tc>
          <w:tcPr>
            <w:tcW w:w="2528" w:type="dxa"/>
          </w:tcPr>
          <w:p w14:paraId="1E41C0AE"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5B899DB0"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Broad Money</w:t>
            </w:r>
          </w:p>
        </w:tc>
      </w:tr>
      <w:tr w:rsidR="00D506D2" w:rsidRPr="00D506D2" w14:paraId="2D029EDA" w14:textId="77777777" w:rsidTr="00A86EE4">
        <w:tc>
          <w:tcPr>
            <w:tcW w:w="1368" w:type="dxa"/>
          </w:tcPr>
          <w:p w14:paraId="6900397E"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11</w:t>
            </w:r>
          </w:p>
        </w:tc>
        <w:tc>
          <w:tcPr>
            <w:tcW w:w="1800" w:type="dxa"/>
          </w:tcPr>
          <w:p w14:paraId="48AA8B49"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M4</w:t>
            </w:r>
          </w:p>
        </w:tc>
        <w:tc>
          <w:tcPr>
            <w:tcW w:w="2528" w:type="dxa"/>
          </w:tcPr>
          <w:p w14:paraId="51AE5AAB" w14:textId="77777777" w:rsidR="00D506D2" w:rsidRPr="00D506D2" w:rsidRDefault="00D506D2" w:rsidP="00D506D2">
            <w:pPr>
              <w:tabs>
                <w:tab w:val="left" w:pos="540"/>
                <w:tab w:val="left" w:pos="720"/>
                <w:tab w:val="right" w:pos="9000"/>
              </w:tabs>
              <w:spacing w:before="12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28D92239" w14:textId="77777777" w:rsidR="00D506D2" w:rsidRPr="00D506D2" w:rsidRDefault="00D506D2" w:rsidP="00D506D2">
            <w:pPr>
              <w:tabs>
                <w:tab w:val="left" w:pos="540"/>
                <w:tab w:val="left" w:pos="720"/>
                <w:tab w:val="right" w:pos="9000"/>
              </w:tabs>
              <w:spacing w:before="120" w:after="80"/>
              <w:rPr>
                <w:rFonts w:ascii="Times New Roman" w:hAnsi="Times New Roman"/>
                <w:sz w:val="20"/>
                <w:szCs w:val="20"/>
              </w:rPr>
            </w:pPr>
            <w:r w:rsidRPr="00D506D2">
              <w:rPr>
                <w:rFonts w:ascii="Times New Roman" w:hAnsi="Times New Roman"/>
                <w:sz w:val="20"/>
                <w:szCs w:val="20"/>
              </w:rPr>
              <w:t>Broader Money</w:t>
            </w:r>
          </w:p>
        </w:tc>
      </w:tr>
      <w:tr w:rsidR="00D506D2" w:rsidRPr="00D506D2" w14:paraId="63C48D0B" w14:textId="77777777" w:rsidTr="00A86EE4">
        <w:tc>
          <w:tcPr>
            <w:tcW w:w="8882" w:type="dxa"/>
            <w:gridSpan w:val="4"/>
          </w:tcPr>
          <w:p w14:paraId="5894E93C"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b/>
                <w:bCs/>
                <w:sz w:val="20"/>
                <w:szCs w:val="20"/>
              </w:rPr>
              <w:t>INTEREST RATE FACTOR</w:t>
            </w:r>
          </w:p>
        </w:tc>
      </w:tr>
      <w:tr w:rsidR="00D506D2" w:rsidRPr="00D506D2" w14:paraId="0F104892" w14:textId="77777777" w:rsidTr="00A86EE4">
        <w:tc>
          <w:tcPr>
            <w:tcW w:w="1368" w:type="dxa"/>
          </w:tcPr>
          <w:p w14:paraId="0663CE91"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12</w:t>
            </w:r>
          </w:p>
        </w:tc>
        <w:tc>
          <w:tcPr>
            <w:tcW w:w="1800" w:type="dxa"/>
          </w:tcPr>
          <w:p w14:paraId="3DF855E9"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CMR</w:t>
            </w:r>
          </w:p>
        </w:tc>
        <w:tc>
          <w:tcPr>
            <w:tcW w:w="2528" w:type="dxa"/>
          </w:tcPr>
          <w:p w14:paraId="7B049F30"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7B5BE294"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Call Money Rate</w:t>
            </w:r>
          </w:p>
        </w:tc>
      </w:tr>
      <w:tr w:rsidR="00D506D2" w:rsidRPr="00D506D2" w14:paraId="4D387800" w14:textId="77777777" w:rsidTr="00A86EE4">
        <w:tc>
          <w:tcPr>
            <w:tcW w:w="1368" w:type="dxa"/>
          </w:tcPr>
          <w:p w14:paraId="7EBCC5CD"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13</w:t>
            </w:r>
          </w:p>
        </w:tc>
        <w:tc>
          <w:tcPr>
            <w:tcW w:w="1800" w:type="dxa"/>
          </w:tcPr>
          <w:p w14:paraId="2AFD5597"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YSGL 1</w:t>
            </w:r>
          </w:p>
        </w:tc>
        <w:tc>
          <w:tcPr>
            <w:tcW w:w="2528" w:type="dxa"/>
          </w:tcPr>
          <w:p w14:paraId="53C94F1B"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6CECA30F"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Yield of Government Securities 1 year</w:t>
            </w:r>
          </w:p>
        </w:tc>
      </w:tr>
      <w:tr w:rsidR="00D506D2" w:rsidRPr="00D506D2" w14:paraId="7C17FD4B" w14:textId="77777777" w:rsidTr="00A86EE4">
        <w:tc>
          <w:tcPr>
            <w:tcW w:w="1368" w:type="dxa"/>
          </w:tcPr>
          <w:p w14:paraId="0A607417"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14</w:t>
            </w:r>
          </w:p>
        </w:tc>
        <w:tc>
          <w:tcPr>
            <w:tcW w:w="1800" w:type="dxa"/>
          </w:tcPr>
          <w:p w14:paraId="315252E6"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YSGL 3</w:t>
            </w:r>
          </w:p>
        </w:tc>
        <w:tc>
          <w:tcPr>
            <w:tcW w:w="2528" w:type="dxa"/>
          </w:tcPr>
          <w:p w14:paraId="3E431267"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2E25D2E2"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Yield of Government Securities 3 year</w:t>
            </w:r>
          </w:p>
        </w:tc>
      </w:tr>
      <w:tr w:rsidR="00D506D2" w:rsidRPr="00D506D2" w14:paraId="5B1248A9" w14:textId="77777777" w:rsidTr="00A86EE4">
        <w:tc>
          <w:tcPr>
            <w:tcW w:w="1368" w:type="dxa"/>
          </w:tcPr>
          <w:p w14:paraId="3F5D143E"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15</w:t>
            </w:r>
          </w:p>
        </w:tc>
        <w:tc>
          <w:tcPr>
            <w:tcW w:w="1800" w:type="dxa"/>
          </w:tcPr>
          <w:p w14:paraId="70DE5ADF"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YSGL 5</w:t>
            </w:r>
          </w:p>
        </w:tc>
        <w:tc>
          <w:tcPr>
            <w:tcW w:w="2528" w:type="dxa"/>
          </w:tcPr>
          <w:p w14:paraId="1D5120BD"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4C61B2B9"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Yield of Government Securities 5 year</w:t>
            </w:r>
          </w:p>
        </w:tc>
      </w:tr>
      <w:tr w:rsidR="00D506D2" w:rsidRPr="00D506D2" w14:paraId="7225CB9C" w14:textId="77777777" w:rsidTr="00A86EE4">
        <w:tc>
          <w:tcPr>
            <w:tcW w:w="1368" w:type="dxa"/>
          </w:tcPr>
          <w:p w14:paraId="677A52FC"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16</w:t>
            </w:r>
          </w:p>
        </w:tc>
        <w:tc>
          <w:tcPr>
            <w:tcW w:w="1800" w:type="dxa"/>
          </w:tcPr>
          <w:p w14:paraId="5ACE7459"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YSGL 7</w:t>
            </w:r>
          </w:p>
        </w:tc>
        <w:tc>
          <w:tcPr>
            <w:tcW w:w="2528" w:type="dxa"/>
          </w:tcPr>
          <w:p w14:paraId="3D525C44"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1BAA5FB1"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Yield of Government Securities 7year</w:t>
            </w:r>
          </w:p>
        </w:tc>
      </w:tr>
      <w:tr w:rsidR="00D506D2" w:rsidRPr="00D506D2" w14:paraId="16479CB7" w14:textId="77777777" w:rsidTr="00A86EE4">
        <w:tc>
          <w:tcPr>
            <w:tcW w:w="1368" w:type="dxa"/>
          </w:tcPr>
          <w:p w14:paraId="2F01165C"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17</w:t>
            </w:r>
          </w:p>
        </w:tc>
        <w:tc>
          <w:tcPr>
            <w:tcW w:w="1800" w:type="dxa"/>
          </w:tcPr>
          <w:p w14:paraId="57C3967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YSGL 10</w:t>
            </w:r>
          </w:p>
        </w:tc>
        <w:tc>
          <w:tcPr>
            <w:tcW w:w="2528" w:type="dxa"/>
          </w:tcPr>
          <w:p w14:paraId="05706BA3"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44DE1139"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Yield of Government Securities 10 year</w:t>
            </w:r>
          </w:p>
        </w:tc>
      </w:tr>
      <w:tr w:rsidR="00D506D2" w:rsidRPr="00D506D2" w14:paraId="292D74AD" w14:textId="77777777" w:rsidTr="00A86EE4">
        <w:tc>
          <w:tcPr>
            <w:tcW w:w="1368" w:type="dxa"/>
          </w:tcPr>
          <w:p w14:paraId="5453C643"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18</w:t>
            </w:r>
          </w:p>
        </w:tc>
        <w:tc>
          <w:tcPr>
            <w:tcW w:w="1800" w:type="dxa"/>
          </w:tcPr>
          <w:p w14:paraId="2CE9D182"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REPO</w:t>
            </w:r>
          </w:p>
        </w:tc>
        <w:tc>
          <w:tcPr>
            <w:tcW w:w="2528" w:type="dxa"/>
          </w:tcPr>
          <w:p w14:paraId="2117218D"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0F6ECFFA"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Repo Rate</w:t>
            </w:r>
          </w:p>
        </w:tc>
      </w:tr>
      <w:tr w:rsidR="00D506D2" w:rsidRPr="00D506D2" w14:paraId="3F28AF2D" w14:textId="77777777" w:rsidTr="00A86EE4">
        <w:tc>
          <w:tcPr>
            <w:tcW w:w="1368" w:type="dxa"/>
          </w:tcPr>
          <w:p w14:paraId="4FE1D5EE"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19</w:t>
            </w:r>
          </w:p>
        </w:tc>
        <w:tc>
          <w:tcPr>
            <w:tcW w:w="1800" w:type="dxa"/>
          </w:tcPr>
          <w:p w14:paraId="25D8F76F"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REVERSE REPO</w:t>
            </w:r>
          </w:p>
        </w:tc>
        <w:tc>
          <w:tcPr>
            <w:tcW w:w="2528" w:type="dxa"/>
          </w:tcPr>
          <w:p w14:paraId="0F992D5A"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026D88E0"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Reverse Repo Rate</w:t>
            </w:r>
          </w:p>
        </w:tc>
      </w:tr>
      <w:tr w:rsidR="00D506D2" w:rsidRPr="00D506D2" w14:paraId="44065B40" w14:textId="77777777" w:rsidTr="00A86EE4">
        <w:tc>
          <w:tcPr>
            <w:tcW w:w="1368" w:type="dxa"/>
          </w:tcPr>
          <w:p w14:paraId="16D514DD"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20</w:t>
            </w:r>
          </w:p>
        </w:tc>
        <w:tc>
          <w:tcPr>
            <w:tcW w:w="1800" w:type="dxa"/>
          </w:tcPr>
          <w:p w14:paraId="078E1FA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CRR</w:t>
            </w:r>
          </w:p>
        </w:tc>
        <w:tc>
          <w:tcPr>
            <w:tcW w:w="2528" w:type="dxa"/>
          </w:tcPr>
          <w:p w14:paraId="72611A70"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1240338D"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Cash Reserve Ratio</w:t>
            </w:r>
          </w:p>
        </w:tc>
      </w:tr>
      <w:tr w:rsidR="00D506D2" w:rsidRPr="00D506D2" w14:paraId="16DABC49" w14:textId="77777777" w:rsidTr="00A86EE4">
        <w:tc>
          <w:tcPr>
            <w:tcW w:w="1368" w:type="dxa"/>
          </w:tcPr>
          <w:p w14:paraId="42E7747A"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21</w:t>
            </w:r>
          </w:p>
        </w:tc>
        <w:tc>
          <w:tcPr>
            <w:tcW w:w="1800" w:type="dxa"/>
          </w:tcPr>
          <w:p w14:paraId="446C3813"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PR</w:t>
            </w:r>
          </w:p>
        </w:tc>
        <w:tc>
          <w:tcPr>
            <w:tcW w:w="2528" w:type="dxa"/>
          </w:tcPr>
          <w:p w14:paraId="06AFFCE2"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2885249F"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Prime Rates</w:t>
            </w:r>
          </w:p>
        </w:tc>
      </w:tr>
      <w:tr w:rsidR="00D506D2" w:rsidRPr="00D506D2" w14:paraId="26E3E28D" w14:textId="77777777" w:rsidTr="00A86EE4">
        <w:tc>
          <w:tcPr>
            <w:tcW w:w="8882" w:type="dxa"/>
            <w:gridSpan w:val="4"/>
          </w:tcPr>
          <w:p w14:paraId="6075EBCC"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b/>
                <w:bCs/>
                <w:sz w:val="20"/>
                <w:szCs w:val="20"/>
              </w:rPr>
              <w:t>OUTPUT FACTOR</w:t>
            </w:r>
          </w:p>
        </w:tc>
      </w:tr>
      <w:tr w:rsidR="00D506D2" w:rsidRPr="00D506D2" w14:paraId="61479F7F" w14:textId="77777777" w:rsidTr="00A86EE4">
        <w:tc>
          <w:tcPr>
            <w:tcW w:w="1368" w:type="dxa"/>
          </w:tcPr>
          <w:p w14:paraId="0F771537"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22</w:t>
            </w:r>
          </w:p>
        </w:tc>
        <w:tc>
          <w:tcPr>
            <w:tcW w:w="1800" w:type="dxa"/>
          </w:tcPr>
          <w:p w14:paraId="66759839"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w:t>
            </w:r>
          </w:p>
        </w:tc>
        <w:tc>
          <w:tcPr>
            <w:tcW w:w="2528" w:type="dxa"/>
          </w:tcPr>
          <w:p w14:paraId="485DBA3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4EBDC551"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Index of Industrial Production</w:t>
            </w:r>
          </w:p>
        </w:tc>
      </w:tr>
      <w:tr w:rsidR="00D506D2" w:rsidRPr="00D506D2" w14:paraId="7B2CB670" w14:textId="77777777" w:rsidTr="00A86EE4">
        <w:tc>
          <w:tcPr>
            <w:tcW w:w="1368" w:type="dxa"/>
          </w:tcPr>
          <w:p w14:paraId="13BEBAA2"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23</w:t>
            </w:r>
          </w:p>
        </w:tc>
        <w:tc>
          <w:tcPr>
            <w:tcW w:w="1800" w:type="dxa"/>
          </w:tcPr>
          <w:p w14:paraId="170A971F"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BG</w:t>
            </w:r>
          </w:p>
        </w:tc>
        <w:tc>
          <w:tcPr>
            <w:tcW w:w="2528" w:type="dxa"/>
          </w:tcPr>
          <w:p w14:paraId="0C543191"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14FE4F16"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Basic Goods</w:t>
            </w:r>
          </w:p>
        </w:tc>
      </w:tr>
      <w:tr w:rsidR="00D506D2" w:rsidRPr="00D506D2" w14:paraId="6D1BE23B" w14:textId="77777777" w:rsidTr="00A86EE4">
        <w:tc>
          <w:tcPr>
            <w:tcW w:w="1368" w:type="dxa"/>
          </w:tcPr>
          <w:p w14:paraId="7D5FD06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24</w:t>
            </w:r>
          </w:p>
        </w:tc>
        <w:tc>
          <w:tcPr>
            <w:tcW w:w="1800" w:type="dxa"/>
          </w:tcPr>
          <w:p w14:paraId="5FCB315F"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CG</w:t>
            </w:r>
          </w:p>
        </w:tc>
        <w:tc>
          <w:tcPr>
            <w:tcW w:w="2528" w:type="dxa"/>
          </w:tcPr>
          <w:p w14:paraId="1131F2A4"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44362AFC"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Capital Goods</w:t>
            </w:r>
          </w:p>
        </w:tc>
      </w:tr>
      <w:tr w:rsidR="00D506D2" w:rsidRPr="00D506D2" w14:paraId="0FAE662E" w14:textId="77777777" w:rsidTr="00A86EE4">
        <w:tc>
          <w:tcPr>
            <w:tcW w:w="1368" w:type="dxa"/>
          </w:tcPr>
          <w:p w14:paraId="61C2E5B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25</w:t>
            </w:r>
          </w:p>
        </w:tc>
        <w:tc>
          <w:tcPr>
            <w:tcW w:w="1800" w:type="dxa"/>
          </w:tcPr>
          <w:p w14:paraId="0CF3C074"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IG</w:t>
            </w:r>
          </w:p>
        </w:tc>
        <w:tc>
          <w:tcPr>
            <w:tcW w:w="2528" w:type="dxa"/>
          </w:tcPr>
          <w:p w14:paraId="7E2AD83C"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4CB67B8B"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Intermediate Goods</w:t>
            </w:r>
          </w:p>
        </w:tc>
      </w:tr>
      <w:tr w:rsidR="00D506D2" w:rsidRPr="00D506D2" w14:paraId="13EA5C96" w14:textId="77777777" w:rsidTr="00A86EE4">
        <w:tc>
          <w:tcPr>
            <w:tcW w:w="1368" w:type="dxa"/>
          </w:tcPr>
          <w:p w14:paraId="3092AEA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26</w:t>
            </w:r>
          </w:p>
        </w:tc>
        <w:tc>
          <w:tcPr>
            <w:tcW w:w="1800" w:type="dxa"/>
          </w:tcPr>
          <w:p w14:paraId="06432280"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CD</w:t>
            </w:r>
          </w:p>
        </w:tc>
        <w:tc>
          <w:tcPr>
            <w:tcW w:w="2528" w:type="dxa"/>
          </w:tcPr>
          <w:p w14:paraId="588F3635"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091F6174"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Capital Goods</w:t>
            </w:r>
          </w:p>
        </w:tc>
      </w:tr>
      <w:tr w:rsidR="00D506D2" w:rsidRPr="00D506D2" w14:paraId="447E1BB5" w14:textId="77777777" w:rsidTr="00A86EE4">
        <w:tc>
          <w:tcPr>
            <w:tcW w:w="1368" w:type="dxa"/>
          </w:tcPr>
          <w:p w14:paraId="20EE97DF"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27</w:t>
            </w:r>
          </w:p>
        </w:tc>
        <w:tc>
          <w:tcPr>
            <w:tcW w:w="1800" w:type="dxa"/>
          </w:tcPr>
          <w:p w14:paraId="7C451462"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CND</w:t>
            </w:r>
          </w:p>
        </w:tc>
        <w:tc>
          <w:tcPr>
            <w:tcW w:w="2528" w:type="dxa"/>
          </w:tcPr>
          <w:p w14:paraId="012BF3A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0E2F37D8"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Consumer Non-Durables</w:t>
            </w:r>
          </w:p>
        </w:tc>
      </w:tr>
      <w:tr w:rsidR="00D506D2" w:rsidRPr="00D506D2" w14:paraId="07D750BB" w14:textId="77777777" w:rsidTr="00A86EE4">
        <w:tc>
          <w:tcPr>
            <w:tcW w:w="1368" w:type="dxa"/>
          </w:tcPr>
          <w:p w14:paraId="34F9C39C"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lastRenderedPageBreak/>
              <w:t>28</w:t>
            </w:r>
          </w:p>
        </w:tc>
        <w:tc>
          <w:tcPr>
            <w:tcW w:w="1800" w:type="dxa"/>
          </w:tcPr>
          <w:p w14:paraId="6CD21987"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ELE</w:t>
            </w:r>
          </w:p>
        </w:tc>
        <w:tc>
          <w:tcPr>
            <w:tcW w:w="2528" w:type="dxa"/>
          </w:tcPr>
          <w:p w14:paraId="532A326C"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14DD461C"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Electricity</w:t>
            </w:r>
          </w:p>
        </w:tc>
      </w:tr>
      <w:tr w:rsidR="00D506D2" w:rsidRPr="00D506D2" w14:paraId="3A621C55" w14:textId="77777777" w:rsidTr="00A86EE4">
        <w:tc>
          <w:tcPr>
            <w:tcW w:w="1368" w:type="dxa"/>
          </w:tcPr>
          <w:p w14:paraId="6A40BE05"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29</w:t>
            </w:r>
          </w:p>
        </w:tc>
        <w:tc>
          <w:tcPr>
            <w:tcW w:w="1800" w:type="dxa"/>
          </w:tcPr>
          <w:p w14:paraId="50C6A679"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M</w:t>
            </w:r>
          </w:p>
        </w:tc>
        <w:tc>
          <w:tcPr>
            <w:tcW w:w="2528" w:type="dxa"/>
          </w:tcPr>
          <w:p w14:paraId="6FED55EF"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7F0693D4"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Minerals</w:t>
            </w:r>
          </w:p>
        </w:tc>
      </w:tr>
      <w:tr w:rsidR="00D506D2" w:rsidRPr="00D506D2" w14:paraId="5ABC53FF" w14:textId="77777777" w:rsidTr="00A86EE4">
        <w:tc>
          <w:tcPr>
            <w:tcW w:w="1368" w:type="dxa"/>
          </w:tcPr>
          <w:p w14:paraId="60E5CD82"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30</w:t>
            </w:r>
          </w:p>
        </w:tc>
        <w:tc>
          <w:tcPr>
            <w:tcW w:w="1800" w:type="dxa"/>
          </w:tcPr>
          <w:p w14:paraId="6B09CBE4"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IIP MQ</w:t>
            </w:r>
          </w:p>
        </w:tc>
        <w:tc>
          <w:tcPr>
            <w:tcW w:w="2528" w:type="dxa"/>
          </w:tcPr>
          <w:p w14:paraId="71DFD79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335EE678"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IIP Mining and Quarrying</w:t>
            </w:r>
          </w:p>
        </w:tc>
      </w:tr>
      <w:tr w:rsidR="00D506D2" w:rsidRPr="00D506D2" w14:paraId="474F5C8D" w14:textId="77777777" w:rsidTr="00A86EE4">
        <w:tc>
          <w:tcPr>
            <w:tcW w:w="8882" w:type="dxa"/>
            <w:gridSpan w:val="4"/>
          </w:tcPr>
          <w:p w14:paraId="05EF45A4"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b/>
                <w:bCs/>
                <w:sz w:val="20"/>
                <w:szCs w:val="20"/>
              </w:rPr>
              <w:t>PRICES FACTOR</w:t>
            </w:r>
          </w:p>
        </w:tc>
      </w:tr>
      <w:tr w:rsidR="00D506D2" w:rsidRPr="00D506D2" w14:paraId="05F6705B" w14:textId="77777777" w:rsidTr="00A86EE4">
        <w:tc>
          <w:tcPr>
            <w:tcW w:w="1368" w:type="dxa"/>
          </w:tcPr>
          <w:p w14:paraId="4A9E5AFF"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31</w:t>
            </w:r>
          </w:p>
        </w:tc>
        <w:tc>
          <w:tcPr>
            <w:tcW w:w="1800" w:type="dxa"/>
          </w:tcPr>
          <w:p w14:paraId="3815D74E"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w:t>
            </w:r>
          </w:p>
        </w:tc>
        <w:tc>
          <w:tcPr>
            <w:tcW w:w="2528" w:type="dxa"/>
          </w:tcPr>
          <w:p w14:paraId="38F1B00A"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2AFB4E45"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w:t>
            </w:r>
          </w:p>
        </w:tc>
      </w:tr>
      <w:tr w:rsidR="00D506D2" w:rsidRPr="00D506D2" w14:paraId="671C8EF2" w14:textId="77777777" w:rsidTr="00A86EE4">
        <w:tc>
          <w:tcPr>
            <w:tcW w:w="1368" w:type="dxa"/>
          </w:tcPr>
          <w:p w14:paraId="5A410AE1"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32</w:t>
            </w:r>
          </w:p>
        </w:tc>
        <w:tc>
          <w:tcPr>
            <w:tcW w:w="1800" w:type="dxa"/>
          </w:tcPr>
          <w:p w14:paraId="0C4B3FF2"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XCLFB</w:t>
            </w:r>
          </w:p>
        </w:tc>
        <w:tc>
          <w:tcPr>
            <w:tcW w:w="2528" w:type="dxa"/>
            <w:tcBorders>
              <w:bottom w:val="single" w:sz="4" w:space="0" w:color="auto"/>
            </w:tcBorders>
          </w:tcPr>
          <w:p w14:paraId="3DE0D119"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single" w:sz="4" w:space="0" w:color="auto"/>
              <w:left w:val="nil"/>
              <w:bottom w:val="single" w:sz="4" w:space="0" w:color="auto"/>
              <w:right w:val="single" w:sz="4" w:space="0" w:color="auto"/>
            </w:tcBorders>
            <w:shd w:val="clear" w:color="auto" w:fill="auto"/>
            <w:vAlign w:val="bottom"/>
          </w:tcPr>
          <w:p w14:paraId="74C29009"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exclude Food and Beverages</w:t>
            </w:r>
          </w:p>
        </w:tc>
      </w:tr>
      <w:tr w:rsidR="00D506D2" w:rsidRPr="00D506D2" w14:paraId="31D008AA" w14:textId="77777777" w:rsidTr="00A86EE4">
        <w:tc>
          <w:tcPr>
            <w:tcW w:w="1368" w:type="dxa"/>
          </w:tcPr>
          <w:p w14:paraId="4DA4C67C"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33</w:t>
            </w:r>
          </w:p>
        </w:tc>
        <w:tc>
          <w:tcPr>
            <w:tcW w:w="1800" w:type="dxa"/>
          </w:tcPr>
          <w:p w14:paraId="455F6474"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XCLFBFL</w:t>
            </w:r>
          </w:p>
        </w:tc>
        <w:tc>
          <w:tcPr>
            <w:tcW w:w="2528" w:type="dxa"/>
            <w:tcBorders>
              <w:bottom w:val="single" w:sz="4" w:space="0" w:color="auto"/>
            </w:tcBorders>
          </w:tcPr>
          <w:p w14:paraId="779D9512"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736CD90F"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exclude Food &amp; Beverages and Fuel &amp; Light</w:t>
            </w:r>
          </w:p>
        </w:tc>
      </w:tr>
      <w:tr w:rsidR="00D506D2" w:rsidRPr="00D506D2" w14:paraId="0162BDF4" w14:textId="77777777" w:rsidTr="00A86EE4">
        <w:tc>
          <w:tcPr>
            <w:tcW w:w="1368" w:type="dxa"/>
          </w:tcPr>
          <w:p w14:paraId="14E9311C"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34</w:t>
            </w:r>
          </w:p>
        </w:tc>
        <w:tc>
          <w:tcPr>
            <w:tcW w:w="1800" w:type="dxa"/>
          </w:tcPr>
          <w:p w14:paraId="510DC05C"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CFPI</w:t>
            </w:r>
          </w:p>
        </w:tc>
        <w:tc>
          <w:tcPr>
            <w:tcW w:w="2528" w:type="dxa"/>
            <w:tcBorders>
              <w:bottom w:val="single" w:sz="4" w:space="0" w:color="auto"/>
            </w:tcBorders>
          </w:tcPr>
          <w:p w14:paraId="17996450"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72AA1133"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Food Price Index</w:t>
            </w:r>
          </w:p>
        </w:tc>
      </w:tr>
      <w:tr w:rsidR="00D506D2" w:rsidRPr="00D506D2" w14:paraId="05389478" w14:textId="77777777" w:rsidTr="00A86EE4">
        <w:tc>
          <w:tcPr>
            <w:tcW w:w="1368" w:type="dxa"/>
          </w:tcPr>
          <w:p w14:paraId="441DE6D3"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35</w:t>
            </w:r>
          </w:p>
        </w:tc>
        <w:tc>
          <w:tcPr>
            <w:tcW w:w="1800" w:type="dxa"/>
          </w:tcPr>
          <w:p w14:paraId="4A2CF46F"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FB</w:t>
            </w:r>
          </w:p>
        </w:tc>
        <w:tc>
          <w:tcPr>
            <w:tcW w:w="2528" w:type="dxa"/>
            <w:tcBorders>
              <w:bottom w:val="single" w:sz="4" w:space="0" w:color="auto"/>
            </w:tcBorders>
          </w:tcPr>
          <w:p w14:paraId="39AA2C14"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5069C85E"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w:t>
            </w:r>
          </w:p>
        </w:tc>
      </w:tr>
      <w:tr w:rsidR="00D506D2" w:rsidRPr="00D506D2" w14:paraId="028E2DA1" w14:textId="77777777" w:rsidTr="00A86EE4">
        <w:tc>
          <w:tcPr>
            <w:tcW w:w="1368" w:type="dxa"/>
          </w:tcPr>
          <w:p w14:paraId="66A47CA9"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36</w:t>
            </w:r>
          </w:p>
        </w:tc>
        <w:tc>
          <w:tcPr>
            <w:tcW w:w="1800" w:type="dxa"/>
          </w:tcPr>
          <w:p w14:paraId="4F4F3AA8"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CP</w:t>
            </w:r>
          </w:p>
        </w:tc>
        <w:tc>
          <w:tcPr>
            <w:tcW w:w="2528" w:type="dxa"/>
          </w:tcPr>
          <w:p w14:paraId="2D8A2203"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2747A4E8"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Cereals and Products</w:t>
            </w:r>
          </w:p>
        </w:tc>
      </w:tr>
      <w:tr w:rsidR="00D506D2" w:rsidRPr="00D506D2" w14:paraId="5E5D4DB2" w14:textId="77777777" w:rsidTr="00A86EE4">
        <w:tc>
          <w:tcPr>
            <w:tcW w:w="1368" w:type="dxa"/>
          </w:tcPr>
          <w:p w14:paraId="237928B2"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37</w:t>
            </w:r>
          </w:p>
        </w:tc>
        <w:tc>
          <w:tcPr>
            <w:tcW w:w="1800" w:type="dxa"/>
          </w:tcPr>
          <w:p w14:paraId="7A1AF8C6"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MF</w:t>
            </w:r>
          </w:p>
        </w:tc>
        <w:tc>
          <w:tcPr>
            <w:tcW w:w="2528" w:type="dxa"/>
          </w:tcPr>
          <w:p w14:paraId="77C6B90A"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single" w:sz="4" w:space="0" w:color="auto"/>
              <w:left w:val="nil"/>
              <w:bottom w:val="single" w:sz="4" w:space="0" w:color="auto"/>
              <w:right w:val="single" w:sz="4" w:space="0" w:color="auto"/>
            </w:tcBorders>
            <w:shd w:val="clear" w:color="auto" w:fill="auto"/>
            <w:vAlign w:val="bottom"/>
          </w:tcPr>
          <w:p w14:paraId="1DB5B13E"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Meat and Fish</w:t>
            </w:r>
          </w:p>
        </w:tc>
      </w:tr>
      <w:tr w:rsidR="00D506D2" w:rsidRPr="00D506D2" w14:paraId="652FCCA2" w14:textId="77777777" w:rsidTr="00A86EE4">
        <w:tc>
          <w:tcPr>
            <w:tcW w:w="1368" w:type="dxa"/>
          </w:tcPr>
          <w:p w14:paraId="3C7A8C04"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38</w:t>
            </w:r>
          </w:p>
        </w:tc>
        <w:tc>
          <w:tcPr>
            <w:tcW w:w="1800" w:type="dxa"/>
          </w:tcPr>
          <w:p w14:paraId="445A53F0"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EGG</w:t>
            </w:r>
          </w:p>
        </w:tc>
        <w:tc>
          <w:tcPr>
            <w:tcW w:w="2528" w:type="dxa"/>
          </w:tcPr>
          <w:p w14:paraId="5852F9E6"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(0)</w:t>
            </w:r>
          </w:p>
        </w:tc>
        <w:tc>
          <w:tcPr>
            <w:tcW w:w="3186" w:type="dxa"/>
            <w:tcBorders>
              <w:top w:val="single" w:sz="4" w:space="0" w:color="auto"/>
              <w:left w:val="nil"/>
              <w:bottom w:val="single" w:sz="4" w:space="0" w:color="auto"/>
              <w:right w:val="single" w:sz="4" w:space="0" w:color="auto"/>
            </w:tcBorders>
            <w:shd w:val="clear" w:color="auto" w:fill="auto"/>
            <w:vAlign w:val="bottom"/>
          </w:tcPr>
          <w:p w14:paraId="0249D2FC"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Egg</w:t>
            </w:r>
          </w:p>
        </w:tc>
      </w:tr>
      <w:tr w:rsidR="00D506D2" w:rsidRPr="00D506D2" w14:paraId="0D1E0A13" w14:textId="77777777" w:rsidTr="00A86EE4">
        <w:tc>
          <w:tcPr>
            <w:tcW w:w="1368" w:type="dxa"/>
          </w:tcPr>
          <w:p w14:paraId="75CA60CE"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39</w:t>
            </w:r>
          </w:p>
        </w:tc>
        <w:tc>
          <w:tcPr>
            <w:tcW w:w="1800" w:type="dxa"/>
          </w:tcPr>
          <w:p w14:paraId="6FF0BCA3"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MILK</w:t>
            </w:r>
          </w:p>
        </w:tc>
        <w:tc>
          <w:tcPr>
            <w:tcW w:w="2528" w:type="dxa"/>
            <w:tcBorders>
              <w:bottom w:val="single" w:sz="4" w:space="0" w:color="auto"/>
            </w:tcBorders>
          </w:tcPr>
          <w:p w14:paraId="0181B886"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single" w:sz="4" w:space="0" w:color="auto"/>
              <w:left w:val="nil"/>
              <w:bottom w:val="single" w:sz="4" w:space="0" w:color="auto"/>
              <w:right w:val="single" w:sz="4" w:space="0" w:color="auto"/>
            </w:tcBorders>
            <w:shd w:val="clear" w:color="auto" w:fill="auto"/>
            <w:vAlign w:val="bottom"/>
          </w:tcPr>
          <w:p w14:paraId="6890912B"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Milk and Milk Product</w:t>
            </w:r>
          </w:p>
        </w:tc>
      </w:tr>
      <w:tr w:rsidR="00D506D2" w:rsidRPr="00D506D2" w14:paraId="46C5C4B7" w14:textId="77777777" w:rsidTr="00A86EE4">
        <w:tc>
          <w:tcPr>
            <w:tcW w:w="1368" w:type="dxa"/>
          </w:tcPr>
          <w:p w14:paraId="5475259C"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40</w:t>
            </w:r>
          </w:p>
        </w:tc>
        <w:tc>
          <w:tcPr>
            <w:tcW w:w="1800" w:type="dxa"/>
          </w:tcPr>
          <w:p w14:paraId="2D30C00B"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OIL</w:t>
            </w:r>
          </w:p>
        </w:tc>
        <w:tc>
          <w:tcPr>
            <w:tcW w:w="2528" w:type="dxa"/>
          </w:tcPr>
          <w:p w14:paraId="42442ED4"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4CC543C5"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Oils and Fats</w:t>
            </w:r>
          </w:p>
        </w:tc>
      </w:tr>
      <w:tr w:rsidR="00D506D2" w:rsidRPr="00D506D2" w14:paraId="7B561E6A" w14:textId="77777777" w:rsidTr="00A86EE4">
        <w:tc>
          <w:tcPr>
            <w:tcW w:w="1368" w:type="dxa"/>
          </w:tcPr>
          <w:p w14:paraId="2C188CC1"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41</w:t>
            </w:r>
          </w:p>
        </w:tc>
        <w:tc>
          <w:tcPr>
            <w:tcW w:w="1800" w:type="dxa"/>
          </w:tcPr>
          <w:p w14:paraId="44DC8DA6"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FRUIT</w:t>
            </w:r>
          </w:p>
        </w:tc>
        <w:tc>
          <w:tcPr>
            <w:tcW w:w="2528" w:type="dxa"/>
            <w:tcBorders>
              <w:bottom w:val="single" w:sz="4" w:space="0" w:color="auto"/>
            </w:tcBorders>
          </w:tcPr>
          <w:p w14:paraId="5C32E25C"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single" w:sz="4" w:space="0" w:color="auto"/>
              <w:left w:val="nil"/>
              <w:bottom w:val="single" w:sz="4" w:space="0" w:color="auto"/>
              <w:right w:val="single" w:sz="4" w:space="0" w:color="auto"/>
            </w:tcBorders>
            <w:shd w:val="clear" w:color="auto" w:fill="auto"/>
            <w:vAlign w:val="bottom"/>
          </w:tcPr>
          <w:p w14:paraId="2722C116"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Fruits</w:t>
            </w:r>
          </w:p>
        </w:tc>
      </w:tr>
      <w:tr w:rsidR="00D506D2" w:rsidRPr="00D506D2" w14:paraId="74EF3BBD" w14:textId="77777777" w:rsidTr="00A86EE4">
        <w:tc>
          <w:tcPr>
            <w:tcW w:w="1368" w:type="dxa"/>
          </w:tcPr>
          <w:p w14:paraId="31D9B5E8"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42</w:t>
            </w:r>
          </w:p>
        </w:tc>
        <w:tc>
          <w:tcPr>
            <w:tcW w:w="1800" w:type="dxa"/>
          </w:tcPr>
          <w:p w14:paraId="08244041"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VEG</w:t>
            </w:r>
          </w:p>
        </w:tc>
        <w:tc>
          <w:tcPr>
            <w:tcW w:w="2528" w:type="dxa"/>
            <w:tcBorders>
              <w:bottom w:val="single" w:sz="4" w:space="0" w:color="auto"/>
            </w:tcBorders>
          </w:tcPr>
          <w:p w14:paraId="71C1AF37"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2E6BB443"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Vegetables</w:t>
            </w:r>
          </w:p>
        </w:tc>
      </w:tr>
      <w:tr w:rsidR="00D506D2" w:rsidRPr="00D506D2" w14:paraId="22D82D20" w14:textId="77777777" w:rsidTr="00A86EE4">
        <w:tc>
          <w:tcPr>
            <w:tcW w:w="1368" w:type="dxa"/>
          </w:tcPr>
          <w:p w14:paraId="18D3B3DB"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43</w:t>
            </w:r>
          </w:p>
        </w:tc>
        <w:tc>
          <w:tcPr>
            <w:tcW w:w="1800" w:type="dxa"/>
          </w:tcPr>
          <w:p w14:paraId="0CA78525"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PL</w:t>
            </w:r>
          </w:p>
        </w:tc>
        <w:tc>
          <w:tcPr>
            <w:tcW w:w="2528" w:type="dxa"/>
            <w:tcBorders>
              <w:bottom w:val="single" w:sz="4" w:space="0" w:color="auto"/>
            </w:tcBorders>
          </w:tcPr>
          <w:p w14:paraId="11AB92D8"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7E2D16FF"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Pulses and Products</w:t>
            </w:r>
          </w:p>
        </w:tc>
      </w:tr>
      <w:tr w:rsidR="00D506D2" w:rsidRPr="00D506D2" w14:paraId="464FD8AF" w14:textId="77777777" w:rsidTr="00A86EE4">
        <w:tc>
          <w:tcPr>
            <w:tcW w:w="1368" w:type="dxa"/>
          </w:tcPr>
          <w:p w14:paraId="5A47DB19"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44</w:t>
            </w:r>
          </w:p>
        </w:tc>
        <w:tc>
          <w:tcPr>
            <w:tcW w:w="1800" w:type="dxa"/>
          </w:tcPr>
          <w:p w14:paraId="11AD29F3"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SC</w:t>
            </w:r>
          </w:p>
        </w:tc>
        <w:tc>
          <w:tcPr>
            <w:tcW w:w="2528" w:type="dxa"/>
            <w:tcBorders>
              <w:bottom w:val="single" w:sz="4" w:space="0" w:color="auto"/>
            </w:tcBorders>
          </w:tcPr>
          <w:p w14:paraId="3B2EF6EA"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13C34C39"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Sugar and Confectionery</w:t>
            </w:r>
          </w:p>
        </w:tc>
      </w:tr>
      <w:tr w:rsidR="00D506D2" w:rsidRPr="00D506D2" w14:paraId="2E9F6B9C" w14:textId="77777777" w:rsidTr="00A86EE4">
        <w:tc>
          <w:tcPr>
            <w:tcW w:w="1368" w:type="dxa"/>
          </w:tcPr>
          <w:p w14:paraId="00389156"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45</w:t>
            </w:r>
          </w:p>
        </w:tc>
        <w:tc>
          <w:tcPr>
            <w:tcW w:w="1800" w:type="dxa"/>
          </w:tcPr>
          <w:p w14:paraId="152C48F7"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CPI SPIC</w:t>
            </w:r>
          </w:p>
        </w:tc>
        <w:tc>
          <w:tcPr>
            <w:tcW w:w="2528" w:type="dxa"/>
            <w:tcBorders>
              <w:bottom w:val="single" w:sz="4" w:space="0" w:color="auto"/>
            </w:tcBorders>
          </w:tcPr>
          <w:p w14:paraId="5EF7F276" w14:textId="77777777" w:rsidR="00D506D2" w:rsidRPr="00D506D2" w:rsidRDefault="00D506D2" w:rsidP="00D506D2">
            <w:pPr>
              <w:tabs>
                <w:tab w:val="left" w:pos="540"/>
                <w:tab w:val="left" w:pos="720"/>
                <w:tab w:val="right" w:pos="9000"/>
              </w:tabs>
              <w:spacing w:before="6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691D930E" w14:textId="77777777" w:rsidR="00D506D2" w:rsidRPr="00D506D2" w:rsidRDefault="00D506D2" w:rsidP="00D506D2">
            <w:pPr>
              <w:tabs>
                <w:tab w:val="left" w:pos="540"/>
                <w:tab w:val="left" w:pos="720"/>
                <w:tab w:val="right" w:pos="9000"/>
              </w:tabs>
              <w:spacing w:before="60" w:after="80"/>
              <w:rPr>
                <w:rFonts w:ascii="Times New Roman" w:hAnsi="Times New Roman"/>
                <w:sz w:val="20"/>
                <w:szCs w:val="20"/>
              </w:rPr>
            </w:pPr>
            <w:r w:rsidRPr="00D506D2">
              <w:rPr>
                <w:rFonts w:ascii="Times New Roman" w:hAnsi="Times New Roman"/>
                <w:sz w:val="20"/>
                <w:szCs w:val="20"/>
              </w:rPr>
              <w:t>Consumer Price Index: Food and Beverages: Spices</w:t>
            </w:r>
          </w:p>
        </w:tc>
      </w:tr>
      <w:tr w:rsidR="00D506D2" w:rsidRPr="00D506D2" w14:paraId="1747EF57" w14:textId="77777777" w:rsidTr="00A86EE4">
        <w:tc>
          <w:tcPr>
            <w:tcW w:w="1368" w:type="dxa"/>
          </w:tcPr>
          <w:p w14:paraId="34F00C40"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46</w:t>
            </w:r>
          </w:p>
        </w:tc>
        <w:tc>
          <w:tcPr>
            <w:tcW w:w="1800" w:type="dxa"/>
          </w:tcPr>
          <w:p w14:paraId="7812BF26"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CPI NAB</w:t>
            </w:r>
          </w:p>
        </w:tc>
        <w:tc>
          <w:tcPr>
            <w:tcW w:w="2528" w:type="dxa"/>
            <w:tcBorders>
              <w:top w:val="single" w:sz="4" w:space="0" w:color="auto"/>
              <w:bottom w:val="single" w:sz="4" w:space="0" w:color="auto"/>
            </w:tcBorders>
          </w:tcPr>
          <w:p w14:paraId="023C1516"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single" w:sz="4" w:space="0" w:color="auto"/>
              <w:left w:val="nil"/>
              <w:bottom w:val="single" w:sz="4" w:space="0" w:color="auto"/>
              <w:right w:val="single" w:sz="4" w:space="0" w:color="auto"/>
            </w:tcBorders>
            <w:shd w:val="clear" w:color="auto" w:fill="auto"/>
            <w:vAlign w:val="bottom"/>
          </w:tcPr>
          <w:p w14:paraId="56019F45"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Consumer Price Index: Food and Beverages: Non-alcoholic Beverages</w:t>
            </w:r>
          </w:p>
        </w:tc>
      </w:tr>
      <w:tr w:rsidR="00D506D2" w:rsidRPr="00D506D2" w14:paraId="24513785" w14:textId="77777777" w:rsidTr="00A86EE4">
        <w:tc>
          <w:tcPr>
            <w:tcW w:w="1368" w:type="dxa"/>
          </w:tcPr>
          <w:p w14:paraId="3DB59BD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47</w:t>
            </w:r>
          </w:p>
        </w:tc>
        <w:tc>
          <w:tcPr>
            <w:tcW w:w="1800" w:type="dxa"/>
          </w:tcPr>
          <w:p w14:paraId="7B2892FE"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CPI PM</w:t>
            </w:r>
          </w:p>
        </w:tc>
        <w:tc>
          <w:tcPr>
            <w:tcW w:w="2528" w:type="dxa"/>
            <w:tcBorders>
              <w:bottom w:val="single" w:sz="4" w:space="0" w:color="auto"/>
            </w:tcBorders>
          </w:tcPr>
          <w:p w14:paraId="5E9C1F32"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2665A3FF"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Consumer Price Index: Food and Beverages: Prepared Meals, Snacks, Sweets, etc</w:t>
            </w:r>
          </w:p>
        </w:tc>
      </w:tr>
      <w:tr w:rsidR="00D506D2" w:rsidRPr="00D506D2" w14:paraId="7EEF0E06" w14:textId="77777777" w:rsidTr="00A86EE4">
        <w:tc>
          <w:tcPr>
            <w:tcW w:w="1368" w:type="dxa"/>
          </w:tcPr>
          <w:p w14:paraId="5ACBA08A"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48</w:t>
            </w:r>
          </w:p>
        </w:tc>
        <w:tc>
          <w:tcPr>
            <w:tcW w:w="1800" w:type="dxa"/>
          </w:tcPr>
          <w:p w14:paraId="50DAA2F3"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CPI PAN</w:t>
            </w:r>
          </w:p>
        </w:tc>
        <w:tc>
          <w:tcPr>
            <w:tcW w:w="2528" w:type="dxa"/>
            <w:tcBorders>
              <w:bottom w:val="single" w:sz="4" w:space="0" w:color="auto"/>
            </w:tcBorders>
          </w:tcPr>
          <w:p w14:paraId="6EAA35CB"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top w:val="nil"/>
              <w:left w:val="nil"/>
              <w:bottom w:val="single" w:sz="4" w:space="0" w:color="auto"/>
              <w:right w:val="single" w:sz="4" w:space="0" w:color="auto"/>
            </w:tcBorders>
            <w:shd w:val="clear" w:color="auto" w:fill="auto"/>
            <w:vAlign w:val="bottom"/>
          </w:tcPr>
          <w:p w14:paraId="12DE8DB5"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Consumer Price Index: Pan, Tobacco and Intoxicants</w:t>
            </w:r>
          </w:p>
        </w:tc>
      </w:tr>
      <w:tr w:rsidR="00D506D2" w:rsidRPr="00D506D2" w14:paraId="08EE81CA" w14:textId="77777777" w:rsidTr="00A86EE4">
        <w:tc>
          <w:tcPr>
            <w:tcW w:w="1368" w:type="dxa"/>
          </w:tcPr>
          <w:p w14:paraId="33FA0201"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49</w:t>
            </w:r>
          </w:p>
        </w:tc>
        <w:tc>
          <w:tcPr>
            <w:tcW w:w="1800" w:type="dxa"/>
          </w:tcPr>
          <w:p w14:paraId="192BA3BA"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CPI CL</w:t>
            </w:r>
          </w:p>
        </w:tc>
        <w:tc>
          <w:tcPr>
            <w:tcW w:w="2528" w:type="dxa"/>
          </w:tcPr>
          <w:p w14:paraId="3A34D55C"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Borders>
              <w:top w:val="nil"/>
              <w:left w:val="nil"/>
              <w:bottom w:val="single" w:sz="4" w:space="0" w:color="auto"/>
              <w:right w:val="single" w:sz="4" w:space="0" w:color="auto"/>
            </w:tcBorders>
            <w:shd w:val="clear" w:color="auto" w:fill="auto"/>
            <w:vAlign w:val="bottom"/>
          </w:tcPr>
          <w:p w14:paraId="17EA0C81"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Consumer Price Index: Clothing and Footwear</w:t>
            </w:r>
          </w:p>
        </w:tc>
      </w:tr>
      <w:tr w:rsidR="00D506D2" w:rsidRPr="00D506D2" w14:paraId="33171F37" w14:textId="77777777" w:rsidTr="00A86EE4">
        <w:tc>
          <w:tcPr>
            <w:tcW w:w="8882" w:type="dxa"/>
            <w:gridSpan w:val="4"/>
            <w:tcBorders>
              <w:right w:val="single" w:sz="4" w:space="0" w:color="auto"/>
            </w:tcBorders>
          </w:tcPr>
          <w:p w14:paraId="40F5DC74"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b/>
                <w:bCs/>
                <w:sz w:val="20"/>
                <w:szCs w:val="20"/>
              </w:rPr>
              <w:t>CRYPTO</w:t>
            </w:r>
          </w:p>
        </w:tc>
      </w:tr>
      <w:tr w:rsidR="00D506D2" w:rsidRPr="00D506D2" w14:paraId="7C05B852" w14:textId="77777777" w:rsidTr="00A86EE4">
        <w:tc>
          <w:tcPr>
            <w:tcW w:w="1368" w:type="dxa"/>
          </w:tcPr>
          <w:p w14:paraId="191548FD"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50</w:t>
            </w:r>
          </w:p>
        </w:tc>
        <w:tc>
          <w:tcPr>
            <w:tcW w:w="1800" w:type="dxa"/>
          </w:tcPr>
          <w:p w14:paraId="609DDABD"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BTC</w:t>
            </w:r>
          </w:p>
        </w:tc>
        <w:tc>
          <w:tcPr>
            <w:tcW w:w="2528" w:type="dxa"/>
          </w:tcPr>
          <w:p w14:paraId="22DD73C8"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24AF8172"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Bitcoin</w:t>
            </w:r>
          </w:p>
        </w:tc>
      </w:tr>
      <w:tr w:rsidR="00D506D2" w:rsidRPr="00D506D2" w14:paraId="0F18BC5E" w14:textId="77777777" w:rsidTr="00A86EE4">
        <w:tblPrEx>
          <w:tblLook w:val="0000" w:firstRow="0" w:lastRow="0" w:firstColumn="0" w:lastColumn="0" w:noHBand="0" w:noVBand="0"/>
        </w:tblPrEx>
        <w:tc>
          <w:tcPr>
            <w:tcW w:w="1368" w:type="dxa"/>
          </w:tcPr>
          <w:p w14:paraId="027D0DB1"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lastRenderedPageBreak/>
              <w:t>51</w:t>
            </w:r>
          </w:p>
        </w:tc>
        <w:tc>
          <w:tcPr>
            <w:tcW w:w="1800" w:type="dxa"/>
          </w:tcPr>
          <w:p w14:paraId="1282E1FF"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ETH</w:t>
            </w:r>
          </w:p>
        </w:tc>
        <w:tc>
          <w:tcPr>
            <w:tcW w:w="2528" w:type="dxa"/>
          </w:tcPr>
          <w:p w14:paraId="4224AAF0"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13BE859E"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Ethereum</w:t>
            </w:r>
          </w:p>
        </w:tc>
      </w:tr>
      <w:tr w:rsidR="00D506D2" w:rsidRPr="00D506D2" w14:paraId="5805B848" w14:textId="77777777" w:rsidTr="00A86EE4">
        <w:tblPrEx>
          <w:tblLook w:val="0000" w:firstRow="0" w:lastRow="0" w:firstColumn="0" w:lastColumn="0" w:noHBand="0" w:noVBand="0"/>
        </w:tblPrEx>
        <w:tc>
          <w:tcPr>
            <w:tcW w:w="1368" w:type="dxa"/>
          </w:tcPr>
          <w:p w14:paraId="42FF1DF1"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52</w:t>
            </w:r>
          </w:p>
        </w:tc>
        <w:tc>
          <w:tcPr>
            <w:tcW w:w="1800" w:type="dxa"/>
          </w:tcPr>
          <w:p w14:paraId="502C7E71"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DGC</w:t>
            </w:r>
          </w:p>
        </w:tc>
        <w:tc>
          <w:tcPr>
            <w:tcW w:w="2528" w:type="dxa"/>
          </w:tcPr>
          <w:p w14:paraId="55FB915D"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Pr>
          <w:p w14:paraId="2F046E3C"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Dogecoin</w:t>
            </w:r>
          </w:p>
        </w:tc>
      </w:tr>
      <w:tr w:rsidR="00D506D2" w:rsidRPr="00D506D2" w14:paraId="2BB08C93" w14:textId="77777777" w:rsidTr="00A86EE4">
        <w:tblPrEx>
          <w:tblLook w:val="0000" w:firstRow="0" w:lastRow="0" w:firstColumn="0" w:lastColumn="0" w:noHBand="0" w:noVBand="0"/>
        </w:tblPrEx>
        <w:tc>
          <w:tcPr>
            <w:tcW w:w="1368" w:type="dxa"/>
          </w:tcPr>
          <w:p w14:paraId="6E7B7CBE"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53</w:t>
            </w:r>
          </w:p>
        </w:tc>
        <w:tc>
          <w:tcPr>
            <w:tcW w:w="1800" w:type="dxa"/>
          </w:tcPr>
          <w:p w14:paraId="126D7605"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XRP</w:t>
            </w:r>
          </w:p>
        </w:tc>
        <w:tc>
          <w:tcPr>
            <w:tcW w:w="2528" w:type="dxa"/>
          </w:tcPr>
          <w:p w14:paraId="0C554E00"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(0)</w:t>
            </w:r>
          </w:p>
        </w:tc>
        <w:tc>
          <w:tcPr>
            <w:tcW w:w="3186" w:type="dxa"/>
          </w:tcPr>
          <w:p w14:paraId="3F9E019C"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Ripple (XRP)</w:t>
            </w:r>
          </w:p>
        </w:tc>
      </w:tr>
      <w:tr w:rsidR="00D506D2" w:rsidRPr="00D506D2" w14:paraId="72D444F0" w14:textId="77777777" w:rsidTr="00A86EE4">
        <w:tblPrEx>
          <w:tblLook w:val="0000" w:firstRow="0" w:lastRow="0" w:firstColumn="0" w:lastColumn="0" w:noHBand="0" w:noVBand="0"/>
        </w:tblPrEx>
        <w:tc>
          <w:tcPr>
            <w:tcW w:w="1368" w:type="dxa"/>
            <w:tcBorders>
              <w:bottom w:val="single" w:sz="4" w:space="0" w:color="auto"/>
            </w:tcBorders>
          </w:tcPr>
          <w:p w14:paraId="2F0DA125"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54</w:t>
            </w:r>
          </w:p>
        </w:tc>
        <w:tc>
          <w:tcPr>
            <w:tcW w:w="1800" w:type="dxa"/>
            <w:tcBorders>
              <w:bottom w:val="single" w:sz="4" w:space="0" w:color="auto"/>
            </w:tcBorders>
          </w:tcPr>
          <w:p w14:paraId="38EBD5B1"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LTC</w:t>
            </w:r>
          </w:p>
        </w:tc>
        <w:tc>
          <w:tcPr>
            <w:tcW w:w="2528" w:type="dxa"/>
            <w:tcBorders>
              <w:bottom w:val="single" w:sz="4" w:space="0" w:color="auto"/>
            </w:tcBorders>
          </w:tcPr>
          <w:p w14:paraId="4A71CB8E" w14:textId="77777777" w:rsidR="00D506D2" w:rsidRPr="00D506D2" w:rsidRDefault="00D506D2" w:rsidP="00D506D2">
            <w:pPr>
              <w:tabs>
                <w:tab w:val="left" w:pos="540"/>
                <w:tab w:val="left" w:pos="720"/>
                <w:tab w:val="right" w:pos="9000"/>
              </w:tabs>
              <w:spacing w:before="80" w:after="80"/>
              <w:jc w:val="center"/>
              <w:rPr>
                <w:rFonts w:ascii="Times New Roman" w:hAnsi="Times New Roman"/>
                <w:sz w:val="20"/>
                <w:szCs w:val="20"/>
              </w:rPr>
            </w:pPr>
            <w:r w:rsidRPr="00D506D2">
              <w:rPr>
                <w:rFonts w:ascii="Times New Roman" w:hAnsi="Times New Roman"/>
                <w:sz w:val="20"/>
                <w:szCs w:val="20"/>
              </w:rPr>
              <w:t>I (1)</w:t>
            </w:r>
          </w:p>
        </w:tc>
        <w:tc>
          <w:tcPr>
            <w:tcW w:w="3186" w:type="dxa"/>
            <w:tcBorders>
              <w:bottom w:val="single" w:sz="4" w:space="0" w:color="auto"/>
            </w:tcBorders>
          </w:tcPr>
          <w:p w14:paraId="0A9AE1C7" w14:textId="77777777" w:rsidR="00D506D2" w:rsidRPr="00D506D2" w:rsidRDefault="00D506D2" w:rsidP="00D506D2">
            <w:pPr>
              <w:tabs>
                <w:tab w:val="left" w:pos="540"/>
                <w:tab w:val="left" w:pos="720"/>
                <w:tab w:val="right" w:pos="9000"/>
              </w:tabs>
              <w:spacing w:before="80" w:after="80"/>
              <w:rPr>
                <w:rFonts w:ascii="Times New Roman" w:hAnsi="Times New Roman"/>
                <w:sz w:val="20"/>
                <w:szCs w:val="20"/>
              </w:rPr>
            </w:pPr>
            <w:r w:rsidRPr="00D506D2">
              <w:rPr>
                <w:rFonts w:ascii="Times New Roman" w:hAnsi="Times New Roman"/>
                <w:sz w:val="20"/>
                <w:szCs w:val="20"/>
              </w:rPr>
              <w:t>Litecoin</w:t>
            </w:r>
          </w:p>
        </w:tc>
      </w:tr>
      <w:tr w:rsidR="00D506D2" w:rsidRPr="00D506D2" w14:paraId="5BBD6974" w14:textId="77777777" w:rsidTr="00A86EE4">
        <w:tblPrEx>
          <w:tblLook w:val="0000" w:firstRow="0" w:lastRow="0" w:firstColumn="0" w:lastColumn="0" w:noHBand="0" w:noVBand="0"/>
        </w:tblPrEx>
        <w:tc>
          <w:tcPr>
            <w:tcW w:w="8882" w:type="dxa"/>
            <w:gridSpan w:val="4"/>
            <w:tcBorders>
              <w:left w:val="nil"/>
              <w:bottom w:val="nil"/>
              <w:right w:val="nil"/>
            </w:tcBorders>
          </w:tcPr>
          <w:p w14:paraId="5465AD7D" w14:textId="77777777" w:rsidR="00D506D2" w:rsidRPr="00D506D2" w:rsidRDefault="00D506D2" w:rsidP="00D506D2">
            <w:pPr>
              <w:tabs>
                <w:tab w:val="left" w:pos="540"/>
                <w:tab w:val="left" w:pos="720"/>
                <w:tab w:val="right" w:pos="9000"/>
              </w:tabs>
              <w:spacing w:before="80" w:after="80"/>
              <w:rPr>
                <w:rFonts w:ascii="Times New Roman" w:hAnsi="Times New Roman"/>
                <w:bCs/>
                <w:sz w:val="20"/>
                <w:szCs w:val="20"/>
              </w:rPr>
            </w:pPr>
            <w:r w:rsidRPr="00D506D2">
              <w:rPr>
                <w:rFonts w:ascii="Times New Roman" w:hAnsi="Times New Roman"/>
                <w:bCs/>
                <w:sz w:val="20"/>
                <w:szCs w:val="20"/>
              </w:rPr>
              <w:t>Source: Reserve Bank of India (RBI) and statista.com</w:t>
            </w:r>
          </w:p>
        </w:tc>
      </w:tr>
    </w:tbl>
    <w:p w14:paraId="0C836734" w14:textId="77777777" w:rsidR="00D506D2" w:rsidRPr="00D506D2" w:rsidRDefault="00D506D2" w:rsidP="00D506D2">
      <w:pPr>
        <w:tabs>
          <w:tab w:val="left" w:pos="540"/>
          <w:tab w:val="left" w:pos="720"/>
          <w:tab w:val="right" w:pos="9000"/>
        </w:tabs>
        <w:spacing w:after="200" w:line="360" w:lineRule="auto"/>
        <w:jc w:val="center"/>
        <w:rPr>
          <w:rFonts w:ascii="Times New Roman" w:eastAsia="Calibri" w:hAnsi="Times New Roman" w:cs="Times New Roman"/>
          <w:kern w:val="0"/>
          <w:sz w:val="20"/>
          <w:szCs w:val="20"/>
          <w14:ligatures w14:val="none"/>
        </w:rPr>
      </w:pPr>
    </w:p>
    <w:p w14:paraId="1C6E8B87" w14:textId="281AE420" w:rsidR="00D506D2" w:rsidRPr="00D506D2" w:rsidRDefault="00D506D2" w:rsidP="00D506D2">
      <w:pPr>
        <w:rPr>
          <w:kern w:val="0"/>
          <w:lang w:val="en-US"/>
          <w14:ligatures w14:val="none"/>
        </w:rPr>
      </w:pPr>
    </w:p>
    <w:p w14:paraId="3266A5D0" w14:textId="77777777" w:rsidR="00D506D2" w:rsidRPr="00D506D2" w:rsidRDefault="00D506D2">
      <w:pPr>
        <w:rPr>
          <w:rFonts w:ascii="Times New Roman" w:hAnsi="Times New Roman" w:cs="Times New Roman"/>
          <w:b/>
          <w:bCs/>
          <w:sz w:val="24"/>
          <w:szCs w:val="24"/>
        </w:rPr>
      </w:pPr>
    </w:p>
    <w:sectPr w:rsidR="00D506D2" w:rsidRPr="00D506D2">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A356C" w14:textId="77777777" w:rsidR="00050C9F" w:rsidRDefault="00050C9F" w:rsidP="00D506D2">
      <w:pPr>
        <w:spacing w:after="0" w:line="240" w:lineRule="auto"/>
      </w:pPr>
      <w:r>
        <w:separator/>
      </w:r>
    </w:p>
  </w:endnote>
  <w:endnote w:type="continuationSeparator" w:id="0">
    <w:p w14:paraId="797858BA" w14:textId="77777777" w:rsidR="00050C9F" w:rsidRDefault="00050C9F" w:rsidP="00D50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AC957" w14:textId="77777777" w:rsidR="00050C9F" w:rsidRDefault="00050C9F" w:rsidP="00D506D2">
      <w:pPr>
        <w:spacing w:after="0" w:line="240" w:lineRule="auto"/>
      </w:pPr>
      <w:r>
        <w:separator/>
      </w:r>
    </w:p>
  </w:footnote>
  <w:footnote w:type="continuationSeparator" w:id="0">
    <w:p w14:paraId="2C1E6F59" w14:textId="77777777" w:rsidR="00050C9F" w:rsidRDefault="00050C9F" w:rsidP="00D506D2">
      <w:pPr>
        <w:spacing w:after="0" w:line="240" w:lineRule="auto"/>
      </w:pPr>
      <w:r>
        <w:continuationSeparator/>
      </w:r>
    </w:p>
  </w:footnote>
  <w:footnote w:id="1">
    <w:p w14:paraId="719A7D64" w14:textId="77777777" w:rsidR="00D506D2" w:rsidRPr="00D568A9" w:rsidRDefault="00D506D2" w:rsidP="00D506D2">
      <w:pPr>
        <w:pStyle w:val="FootnoteText"/>
        <w:tabs>
          <w:tab w:val="left" w:pos="360"/>
        </w:tabs>
        <w:ind w:left="360" w:hanging="360"/>
        <w:jc w:val="both"/>
        <w:rPr>
          <w:rFonts w:ascii="Times New Roman" w:hAnsi="Times New Roman"/>
        </w:rPr>
      </w:pPr>
      <w:r w:rsidRPr="00D568A9">
        <w:rPr>
          <w:rStyle w:val="FootnoteReference"/>
          <w:rFonts w:ascii="Times New Roman" w:hAnsi="Times New Roman"/>
        </w:rPr>
        <w:footnoteRef/>
      </w:r>
      <w:r w:rsidRPr="00D568A9">
        <w:rPr>
          <w:rFonts w:ascii="Times New Roman" w:hAnsi="Times New Roman"/>
        </w:rPr>
        <w:t xml:space="preserve"> </w:t>
      </w:r>
      <w:r>
        <w:rPr>
          <w:rFonts w:ascii="Times New Roman" w:hAnsi="Times New Roman"/>
        </w:rPr>
        <w:tab/>
      </w:r>
      <w:r w:rsidRPr="00D568A9">
        <w:rPr>
          <w:rFonts w:ascii="Times New Roman" w:hAnsi="Times New Roman"/>
        </w:rPr>
        <w:t xml:space="preserve">Said to be pseudonym for a person or group of persons. Real name is still unknown.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53A0A" w14:textId="48AEA3B2" w:rsidR="00D506D2" w:rsidRPr="00E32F98" w:rsidRDefault="00D506D2" w:rsidP="00E32F98">
    <w:pPr>
      <w:pStyle w:val="Header"/>
      <w:pBdr>
        <w:bottom w:val="thickThinSmallGap" w:sz="18" w:space="1" w:color="auto"/>
      </w:pBdr>
      <w:jc w:val="right"/>
      <w:rPr>
        <w:rFonts w:ascii="Times New Roman" w:hAnsi="Times New Roman" w:cs="Times New Roman"/>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F0C84"/>
    <w:multiLevelType w:val="multilevel"/>
    <w:tmpl w:val="863E7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2C3A8C"/>
    <w:multiLevelType w:val="hybridMultilevel"/>
    <w:tmpl w:val="83303CEA"/>
    <w:lvl w:ilvl="0" w:tplc="049AD394">
      <w:numFmt w:val="bullet"/>
      <w:lvlText w:val="-"/>
      <w:lvlJc w:val="left"/>
      <w:pPr>
        <w:ind w:left="720" w:hanging="360"/>
      </w:pPr>
      <w:rPr>
        <w:rFonts w:ascii="Times New Roman" w:eastAsia="Calibr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E2A541D"/>
    <w:multiLevelType w:val="hybridMultilevel"/>
    <w:tmpl w:val="2206A946"/>
    <w:lvl w:ilvl="0" w:tplc="342248A6">
      <w:start w:val="1"/>
      <w:numFmt w:val="bullet"/>
      <w:lvlText w:val=""/>
      <w:lvlJc w:val="left"/>
      <w:pPr>
        <w:ind w:left="720" w:hanging="360"/>
      </w:pPr>
      <w:rPr>
        <w:rFonts w:ascii="Symbol" w:hAnsi="Symbol" w:hint="default"/>
      </w:rPr>
    </w:lvl>
    <w:lvl w:ilvl="1" w:tplc="7486A5D6" w:tentative="1">
      <w:start w:val="1"/>
      <w:numFmt w:val="bullet"/>
      <w:lvlText w:val="o"/>
      <w:lvlJc w:val="left"/>
      <w:pPr>
        <w:ind w:left="1440" w:hanging="360"/>
      </w:pPr>
      <w:rPr>
        <w:rFonts w:ascii="Courier New" w:hAnsi="Courier New" w:cs="Courier New" w:hint="default"/>
      </w:rPr>
    </w:lvl>
    <w:lvl w:ilvl="2" w:tplc="A49C625C" w:tentative="1">
      <w:start w:val="1"/>
      <w:numFmt w:val="bullet"/>
      <w:lvlText w:val=""/>
      <w:lvlJc w:val="left"/>
      <w:pPr>
        <w:ind w:left="2160" w:hanging="360"/>
      </w:pPr>
      <w:rPr>
        <w:rFonts w:ascii="Wingdings" w:hAnsi="Wingdings" w:hint="default"/>
      </w:rPr>
    </w:lvl>
    <w:lvl w:ilvl="3" w:tplc="D1C049FE" w:tentative="1">
      <w:start w:val="1"/>
      <w:numFmt w:val="bullet"/>
      <w:lvlText w:val=""/>
      <w:lvlJc w:val="left"/>
      <w:pPr>
        <w:ind w:left="2880" w:hanging="360"/>
      </w:pPr>
      <w:rPr>
        <w:rFonts w:ascii="Symbol" w:hAnsi="Symbol" w:hint="default"/>
      </w:rPr>
    </w:lvl>
    <w:lvl w:ilvl="4" w:tplc="1370ECC4" w:tentative="1">
      <w:start w:val="1"/>
      <w:numFmt w:val="bullet"/>
      <w:lvlText w:val="o"/>
      <w:lvlJc w:val="left"/>
      <w:pPr>
        <w:ind w:left="3600" w:hanging="360"/>
      </w:pPr>
      <w:rPr>
        <w:rFonts w:ascii="Courier New" w:hAnsi="Courier New" w:cs="Courier New" w:hint="default"/>
      </w:rPr>
    </w:lvl>
    <w:lvl w:ilvl="5" w:tplc="A79CA052" w:tentative="1">
      <w:start w:val="1"/>
      <w:numFmt w:val="bullet"/>
      <w:lvlText w:val=""/>
      <w:lvlJc w:val="left"/>
      <w:pPr>
        <w:ind w:left="4320" w:hanging="360"/>
      </w:pPr>
      <w:rPr>
        <w:rFonts w:ascii="Wingdings" w:hAnsi="Wingdings" w:hint="default"/>
      </w:rPr>
    </w:lvl>
    <w:lvl w:ilvl="6" w:tplc="0C848DC0" w:tentative="1">
      <w:start w:val="1"/>
      <w:numFmt w:val="bullet"/>
      <w:lvlText w:val=""/>
      <w:lvlJc w:val="left"/>
      <w:pPr>
        <w:ind w:left="5040" w:hanging="360"/>
      </w:pPr>
      <w:rPr>
        <w:rFonts w:ascii="Symbol" w:hAnsi="Symbol" w:hint="default"/>
      </w:rPr>
    </w:lvl>
    <w:lvl w:ilvl="7" w:tplc="9B58E6A4" w:tentative="1">
      <w:start w:val="1"/>
      <w:numFmt w:val="bullet"/>
      <w:lvlText w:val="o"/>
      <w:lvlJc w:val="left"/>
      <w:pPr>
        <w:ind w:left="5760" w:hanging="360"/>
      </w:pPr>
      <w:rPr>
        <w:rFonts w:ascii="Courier New" w:hAnsi="Courier New" w:cs="Courier New" w:hint="default"/>
      </w:rPr>
    </w:lvl>
    <w:lvl w:ilvl="8" w:tplc="A7784660" w:tentative="1">
      <w:start w:val="1"/>
      <w:numFmt w:val="bullet"/>
      <w:lvlText w:val=""/>
      <w:lvlJc w:val="left"/>
      <w:pPr>
        <w:ind w:left="6480" w:hanging="360"/>
      </w:pPr>
      <w:rPr>
        <w:rFonts w:ascii="Wingdings" w:hAnsi="Wingdings" w:hint="default"/>
      </w:rPr>
    </w:lvl>
  </w:abstractNum>
  <w:num w:numId="1" w16cid:durableId="1748306140">
    <w:abstractNumId w:val="2"/>
  </w:num>
  <w:num w:numId="2" w16cid:durableId="526260234">
    <w:abstractNumId w:val="0"/>
  </w:num>
  <w:num w:numId="3" w16cid:durableId="4929185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6D2"/>
    <w:rsid w:val="00004AA5"/>
    <w:rsid w:val="00050C9F"/>
    <w:rsid w:val="006463FD"/>
    <w:rsid w:val="006D1185"/>
    <w:rsid w:val="00973667"/>
    <w:rsid w:val="009E251A"/>
    <w:rsid w:val="00D506D2"/>
    <w:rsid w:val="00DC7C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10D2F"/>
  <w15:chartTrackingRefBased/>
  <w15:docId w15:val="{4A44B74B-06DF-4389-A9AC-6736FD46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06D2"/>
    <w:pPr>
      <w:tabs>
        <w:tab w:val="center" w:pos="4513"/>
        <w:tab w:val="right" w:pos="9026"/>
      </w:tabs>
      <w:spacing w:after="0" w:line="240" w:lineRule="auto"/>
    </w:pPr>
    <w:rPr>
      <w:kern w:val="0"/>
      <w:lang w:val="en-US"/>
      <w14:ligatures w14:val="none"/>
    </w:rPr>
  </w:style>
  <w:style w:type="character" w:customStyle="1" w:styleId="HeaderChar">
    <w:name w:val="Header Char"/>
    <w:basedOn w:val="DefaultParagraphFont"/>
    <w:link w:val="Header"/>
    <w:uiPriority w:val="99"/>
    <w:rsid w:val="00D506D2"/>
    <w:rPr>
      <w:kern w:val="0"/>
      <w:lang w:val="en-US"/>
      <w14:ligatures w14:val="none"/>
    </w:rPr>
  </w:style>
  <w:style w:type="character" w:styleId="FootnoteReference">
    <w:name w:val="footnote reference"/>
    <w:basedOn w:val="DefaultParagraphFont"/>
    <w:uiPriority w:val="99"/>
    <w:semiHidden/>
    <w:unhideWhenUsed/>
    <w:rsid w:val="00D506D2"/>
    <w:rPr>
      <w:vertAlign w:val="superscript"/>
    </w:rPr>
  </w:style>
  <w:style w:type="paragraph" w:styleId="FootnoteText">
    <w:name w:val="footnote text"/>
    <w:basedOn w:val="Normal"/>
    <w:link w:val="FootnoteTextChar"/>
    <w:uiPriority w:val="99"/>
    <w:unhideWhenUsed/>
    <w:rsid w:val="00D506D2"/>
    <w:pPr>
      <w:spacing w:after="0" w:line="240" w:lineRule="auto"/>
    </w:pPr>
    <w:rPr>
      <w:rFonts w:ascii="Calibri" w:eastAsia="Calibri" w:hAnsi="Calibri" w:cs="Times New Roman"/>
      <w:kern w:val="0"/>
      <w:sz w:val="20"/>
      <w:szCs w:val="20"/>
      <w14:ligatures w14:val="none"/>
    </w:rPr>
  </w:style>
  <w:style w:type="character" w:customStyle="1" w:styleId="FootnoteTextChar">
    <w:name w:val="Footnote Text Char"/>
    <w:basedOn w:val="DefaultParagraphFont"/>
    <w:link w:val="FootnoteText"/>
    <w:uiPriority w:val="99"/>
    <w:rsid w:val="00D506D2"/>
    <w:rPr>
      <w:rFonts w:ascii="Calibri" w:eastAsia="Calibri" w:hAnsi="Calibri" w:cs="Times New Roman"/>
      <w:kern w:val="0"/>
      <w:sz w:val="20"/>
      <w:szCs w:val="20"/>
      <w14:ligatures w14:val="none"/>
    </w:rPr>
  </w:style>
  <w:style w:type="character" w:styleId="Hyperlink">
    <w:name w:val="Hyperlink"/>
    <w:basedOn w:val="DefaultParagraphFont"/>
    <w:uiPriority w:val="99"/>
    <w:unhideWhenUsed/>
    <w:rsid w:val="00D506D2"/>
    <w:rPr>
      <w:color w:val="0000FF"/>
      <w:u w:val="single"/>
    </w:rPr>
  </w:style>
  <w:style w:type="table" w:customStyle="1" w:styleId="TableGrid2">
    <w:name w:val="Table Grid_2"/>
    <w:basedOn w:val="TableNormal"/>
    <w:uiPriority w:val="39"/>
    <w:rsid w:val="00D506D2"/>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D506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06D2"/>
  </w:style>
  <w:style w:type="table" w:customStyle="1" w:styleId="TableGrid3">
    <w:name w:val="Table Grid_3"/>
    <w:basedOn w:val="TableNormal"/>
    <w:uiPriority w:val="39"/>
    <w:rsid w:val="00D506D2"/>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36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Pie192</b:Tag>
    <b:SourceType>JournalArticle</b:SourceType>
    <b:Guid>{CBE5F11E-CCCC-4270-91EB-C04F243A826F}</b:Guid>
    <b:Author>
      <b:Author>
        <b:NameList>
          <b:Person>
            <b:Last>Benigno</b:Last>
            <b:First>Pierpaolo</b:First>
          </b:Person>
        </b:NameList>
      </b:Author>
    </b:Author>
    <b:Title>Monetary policy in a world of cryptocurrencies</b:Title>
    <b:JournalName>Centre for Economic Policy and Research (CEPR)</b:JournalName>
    <b:Year>2019</b:Year>
    <b:RefOrder>38</b:RefOrder>
  </b:Source>
  <b:Source>
    <b:Tag>Jee12</b:Tag>
    <b:SourceType>JournalArticle</b:SourceType>
    <b:Guid>{81BE5E6D-BD21-4104-B8B6-8C01AC16EF80}</b:Guid>
    <b:Author>
      <b:Author>
        <b:NameList>
          <b:Person>
            <b:Last>Khundrakpam</b:Last>
            <b:First>Jeevan</b:First>
            <b:Middle>Kumar</b:Middle>
          </b:Person>
          <b:Person>
            <b:Last>Jain</b:Last>
            <b:First>Rajeev</b:First>
          </b:Person>
        </b:NameList>
      </b:Author>
    </b:Author>
    <b:Title>Monetary Policy Transmission in India: A Peep Inside the Black Box</b:Title>
    <b:JournalName>Reserve Bank of India, monthly bulletin </b:JournalName>
    <b:Year>2012</b:Year>
    <b:RefOrder>20</b:RefOrder>
  </b:Source>
  <b:Source>
    <b:Tag>Mun12</b:Tag>
    <b:SourceType>JournalArticle</b:SourceType>
    <b:Guid>{830D88C4-B628-417E-B48B-1C07A989010D}</b:Guid>
    <b:Author>
      <b:Author>
        <b:NameList>
          <b:Person>
            <b:Last>Kapur</b:Last>
            <b:First>Muneesh</b:First>
          </b:Person>
          <b:Person>
            <b:Last>Behera</b:Last>
            <b:First>Harendra</b:First>
          </b:Person>
        </b:NameList>
      </b:Author>
    </b:Author>
    <b:Title>Monetary Transmission Mechanism in India: A Quarterly Model</b:Title>
    <b:JournalName>Reserve Bank of India Monthly bulletin</b:JournalName>
    <b:Year>2012</b:Year>
    <b:RefOrder>21</b:RefOrder>
  </b:Source>
  <b:Source>
    <b:Tag>Arg20</b:Tag>
    <b:SourceType>JournalArticle</b:SourceType>
    <b:Guid>{00D4041F-C6D3-4F0C-9C22-3356CDC92B62}</b:Guid>
    <b:Author>
      <b:Author>
        <b:NameList>
          <b:Person>
            <b:Last>Mitra</b:Last>
            <b:First>Arghya</b:First>
            <b:Middle>Kusum</b:Middle>
          </b:Person>
          <b:Person>
            <b:Last>Kumar</b:Last>
            <b:First>Sadhan</b:First>
          </b:Person>
        </b:NameList>
      </b:Author>
    </b:Author>
    <b:Title>Monetary Policy Transmission in India – Recent Trends and Impediments</b:Title>
    <b:JournalName>Reseve Bank of India, monthly bulletin </b:JournalName>
    <b:Year>2020</b:Year>
    <b:RefOrder>39</b:RefOrder>
  </b:Source>
  <b:Source>
    <b:Tag>Arg21</b:Tag>
    <b:SourceType>JournalArticle</b:SourceType>
    <b:Guid>{766F537F-B914-4CEC-95B6-38E0B7C15C60}</b:Guid>
    <b:Author>
      <b:Author>
        <b:NameList>
          <b:Person>
            <b:Last>Mitra</b:Last>
            <b:First>Arghya</b:First>
            <b:Middle>Kusum</b:Middle>
          </b:Person>
          <b:Person>
            <b:Last>Bhattacharyya</b:Last>
            <b:First>Indranil</b:First>
          </b:Person>
          <b:Person>
            <b:Last>Prabhu</b:Last>
            <b:First>Edwin</b:First>
            <b:Middle>A.</b:Middle>
          </b:Person>
          <b:Person>
            <b:Last>Rajesh B. Kavediya</b:Last>
          </b:Person>
        </b:NameList>
      </b:Author>
    </b:Author>
    <b:Title>Operating Procedure of Monetary Policy</b:Title>
    <b:JournalName>Reserve Bank of India Monthly Bulletin</b:JournalName>
    <b:Year>2021</b:Year>
    <b:Pages>122-165</b:Pages>
    <b:RefOrder>22</b:RefOrder>
  </b:Source>
  <b:Source>
    <b:Tag>Rak08</b:Tag>
    <b:SourceType>JournalArticle</b:SourceType>
    <b:Guid>{8B4CBA64-1F17-4DDF-8017-0249D1434901}</b:Guid>
    <b:Author>
      <b:Author>
        <b:NameList>
          <b:Person>
            <b:Last>Mohan</b:Last>
            <b:First>Rakesh</b:First>
          </b:Person>
        </b:NameList>
      </b:Author>
    </b:Author>
    <b:Title>Monetary policy transmission in India</b:Title>
    <b:JournalName>Bank of Internatioal Settlements</b:JournalName>
    <b:Year>2008</b:Year>
    <b:Pages>BIS Papers No 35</b:Pages>
    <b:RefOrder>30</b:RefOrder>
  </b:Source>
  <b:Source>
    <b:Tag>GPS21</b:Tag>
    <b:SourceType>JournalArticle</b:SourceType>
    <b:Guid>{66299145-3946-4D8A-A9B7-2E27A00F6000}</b:Guid>
    <b:Author>
      <b:Author>
        <b:NameList>
          <b:Person>
            <b:Last>Samanta</b:Last>
            <b:First>G.</b:First>
            <b:Middle>P.</b:Middle>
          </b:Person>
          <b:Person>
            <b:Last>Kumari</b:Last>
            <b:First>Shweta</b:First>
          </b:Person>
        </b:NameList>
      </b:Author>
    </b:Author>
    <b:Title>Monetary Policy Transparency and Anchoring of Inflation Expectations in India</b:Title>
    <b:JournalName>RBI Working Paper Series No. 03</b:JournalName>
    <b:Year>2021</b:Year>
    <b:RefOrder>31</b:RefOrder>
  </b:Source>
  <b:Source>
    <b:Tag>Arg201</b:Tag>
    <b:SourceType>JournalArticle</b:SourceType>
    <b:Guid>{40193505-486B-446A-B8CF-09B31FC2B7A1}</b:Guid>
    <b:Author>
      <b:Author>
        <b:NameList>
          <b:Person>
            <b:Last>Mitra</b:Last>
            <b:First>Arghya</b:First>
            <b:Middle>Kusum</b:Middle>
          </b:Person>
          <b:Person>
            <b:Last>Chattopadhyay</b:Last>
            <b:First>Sadhan</b:First>
            <b:Middle>Kumar</b:Middle>
          </b:Person>
        </b:NameList>
      </b:Author>
    </b:Author>
    <b:Title>Monetary Policy Transmission in India - Recent Trends and Impediments</b:Title>
    <b:JournalName>RBI Bulletin March</b:JournalName>
    <b:Year>2020</b:Year>
    <b:RefOrder>35</b:RefOrder>
  </b:Source>
  <b:Source>
    <b:Tag>Pie19</b:Tag>
    <b:SourceType>JournalArticle</b:SourceType>
    <b:Guid>{539F665C-0E72-4520-A7FC-BD2600F05606}</b:Guid>
    <b:Author>
      <b:Author>
        <b:NameList>
          <b:Person>
            <b:Last>Grippa</b:Last>
            <b:First>Pierpaolo</b:First>
          </b:Person>
          <b:Person>
            <b:Last>Schmittmann</b:Last>
            <b:First>Jochen</b:First>
          </b:Person>
          <b:Person>
            <b:Last>Suntheim</b:Last>
            <b:First>Felix</b:First>
          </b:Person>
        </b:NameList>
      </b:Author>
    </b:Author>
    <b:Title>Climate Change and Financial Risk</b:Title>
    <b:JournalName>FINANCE &amp; DEVELOPMENT</b:JournalName>
    <b:Year>2019 </b:Year>
    <b:Pages>VOL. 56, NO. 4</b:Pages>
    <b:RefOrder>36</b:RefOrder>
  </b:Source>
  <b:Source>
    <b:Tag>Pie191</b:Tag>
    <b:SourceType>JournalArticle</b:SourceType>
    <b:Guid>{19B2AB8D-0B3D-4744-BBCC-7114FDDC0501}</b:Guid>
    <b:Author>
      <b:Author>
        <b:NameList>
          <b:Person>
            <b:Last>Grippa</b:Last>
            <b:First>Pierpaolo</b:First>
          </b:Person>
          <b:Person>
            <b:Last>Schmittmann</b:Last>
            <b:First>Jochen</b:First>
          </b:Person>
          <b:Person>
            <b:Last>Suntheim</b:Last>
            <b:First>Felix</b:First>
          </b:Person>
        </b:NameList>
      </b:Author>
    </b:Author>
    <b:Title>Climate Change and Financial Risk</b:Title>
    <b:JournalName>FINANCE &amp; DEVELOPMENT</b:JournalName>
    <b:Year> 2019</b:Year>
    <b:Pages>VOL. 56, NO. 4 </b:Pages>
    <b:RefOrder>37</b:RefOrder>
  </b:Source>
  <b:Source>
    <b:Tag>Pam20</b:Tag>
    <b:SourceType>JournalArticle</b:SourceType>
    <b:Guid>{167C0BD8-1321-4A1A-ACB3-B449780DDC3E}</b:Guid>
    <b:Author>
      <b:Author>
        <b:NameList>
          <b:Person>
            <b:Last>Dua</b:Last>
            <b:First>Pami</b:First>
          </b:Person>
        </b:NameList>
      </b:Author>
    </b:Author>
    <b:Title>Monetary Policy Framework in India</b:Title>
    <b:JournalName>Indian Economic Review </b:JournalName>
    <b:Year>2020</b:Year>
    <b:Pages>55:117–154</b:Pages>
    <b:RefOrder>27</b:RefOrder>
  </b:Source>
  <b:Source>
    <b:Tag>Bla87</b:Tag>
    <b:SourceType>JournalArticle</b:SourceType>
    <b:Guid>{B4BCD4BB-2FA4-4491-89A7-0ECD3A31BDBA}</b:Guid>
    <b:Author>
      <b:Author>
        <b:NameList>
          <b:Person>
            <b:Last>Blanchard</b:Last>
          </b:Person>
        </b:NameList>
      </b:Author>
    </b:Author>
    <b:Title>Why does money affect output? A survey.</b:Title>
    <b:JournalName>National Bureau of Economic Research </b:JournalName>
    <b:Year>1987</b:Year>
    <b:Pages>working paper No.2285</b:Pages>
    <b:RefOrder>1</b:RefOrder>
  </b:Source>
  <b:Source>
    <b:Tag>Fri3a1</b:Tag>
    <b:SourceType>JournalArticle</b:SourceType>
    <b:Guid>{565D6C8F-0958-46EE-89B2-09A1F2DDB710}</b:Guid>
    <b:Author>
      <b:Author>
        <b:NameList>
          <b:Person>
            <b:Last>Friedman</b:Last>
            <b:First>M.</b:First>
          </b:Person>
          <b:Person>
            <b:Last>Schwartz</b:Last>
            <b:First>J.</b:First>
          </b:Person>
        </b:NameList>
      </b:Author>
    </b:Author>
    <b:Title>Money and business cycles.</b:Title>
    <b:JournalName>Review of Economics and Statistics</b:JournalName>
    <b:Year>1963a</b:Year>
    <b:Pages>45(1, part 2), 32–64.</b:Pages>
    <b:RefOrder>2</b:RefOrder>
  </b:Source>
  <b:Source>
    <b:Tag>Kin831</b:Tag>
    <b:SourceType>JournalArticle</b:SourceType>
    <b:Guid>{18E92A8C-B5C9-4C88-9487-AB90B9455680}</b:Guid>
    <b:Author>
      <b:Author>
        <b:NameList>
          <b:Person>
            <b:Last>King</b:Last>
            <b:First>R.</b:First>
          </b:Person>
          <b:Person>
            <b:Last>Plosser</b:Last>
            <b:First>C.</b:First>
            <b:Middle>,</b:Middle>
          </b:Person>
        </b:NameList>
      </b:Author>
    </b:Author>
    <b:Title>Money, credit and prices in a real business cycle</b:Title>
    <b:JournalName> American Economic Review</b:JournalName>
    <b:Year>1983</b:Year>
    <b:Pages> 74(3), 363–380.</b:Pages>
    <b:RefOrder>3</b:RefOrder>
  </b:Source>
  <b:Source>
    <b:Tag>Fav061</b:Tag>
    <b:SourceType>JournalArticle</b:SourceType>
    <b:Guid>{49FCFA23-0A18-41B9-9B98-717273BA77A8}</b:Guid>
    <b:Author>
      <b:Author>
        <b:NameList>
          <b:Person>
            <b:Last>Favara</b:Last>
            <b:First>G.</b:First>
          </b:Person>
          <b:Person>
            <b:Last>Gordani</b:Last>
            <b:First>P.</b:First>
          </b:Person>
        </b:NameList>
      </b:Author>
    </b:Author>
    <b:Title>Reconsidering the role of money for output, prices and interest rates</b:Title>
    <b:JournalName> Journal of Monetary Economics,</b:JournalName>
    <b:Year> 2006</b:Year>
    <b:Pages>56(3), 419–430.</b:Pages>
    <b:RefOrder>4</b:RefOrder>
  </b:Source>
  <b:Source>
    <b:Tag>Cho041</b:Tag>
    <b:SourceType>JournalArticle</b:SourceType>
    <b:Guid>{809414E1-D41A-4B18-B0BA-9FDA59A3F78D}</b:Guid>
    <b:Author>
      <b:Author>
        <b:NameList>
          <b:Person>
            <b:Last>Chow</b:Last>
            <b:First>G.</b:First>
            <b:Middle>C.</b:Middle>
          </b:Person>
          <b:Person>
            <b:Last>Shen</b:Last>
            <b:First>Y.</b:First>
          </b:Person>
        </b:NameList>
      </b:Author>
    </b:Author>
    <b:Title>Money, price level and output in the Chinese macro economy</b:Title>
    <b:JournalName>Asia-Pacific Journal of Accounting &amp; Economics,</b:JournalName>
    <b:Year>2004</b:Year>
    <b:Pages> 12(2), 91–111.</b:Pages>
    <b:RefOrder>5</b:RefOrder>
  </b:Source>
  <b:Source>
    <b:Tag>Fri3b1</b:Tag>
    <b:SourceType>JournalArticle</b:SourceType>
    <b:Guid>{9E6A3175-0492-451C-A8E6-34042B605811}</b:Guid>
    <b:Author>
      <b:Author>
        <b:NameList>
          <b:Person>
            <b:Last>Friedman</b:Last>
            <b:First>Milton,</b:First>
          </b:Person>
          <b:Person>
            <b:Last>Schwartz.</b:Last>
            <b:First>Anna</b:First>
            <b:Middle>J.</b:Middle>
          </b:Person>
        </b:NameList>
      </b:Author>
    </b:Author>
    <b:Title>A Monetary History of the United States,1867-1960.</b:Title>
    <b:JournalName> Princeton: Princeton University Press. </b:JournalName>
    <b:Year>1963b</b:Year>
    <b:RefOrder>7</b:RefOrder>
  </b:Source>
  <b:Source>
    <b:Tag>Fri3b</b:Tag>
    <b:SourceType>JournalArticle</b:SourceType>
    <b:Guid>{24EE7017-3F64-4B65-90FB-5599699B1979}</b:Guid>
    <b:Author>
      <b:Author>
        <b:NameList>
          <b:Person>
            <b:Last>Friedman</b:Last>
            <b:First>M.</b:First>
          </b:Person>
          <b:Person>
            <b:Last>Meiselman</b:Last>
            <b:First>D..</b:First>
          </b:Person>
        </b:NameList>
      </b:Author>
    </b:Author>
    <b:Title>The relative stability of monetary velocity and the investment multiplier in the United States, 1897-1958</b:Title>
    <b:JournalName>In Cliffs, E. (ed.), stabilization policies, commission on money and credit. Prentice-Hall.</b:JournalName>
    <b:Year>1963</b:Year>
    <b:RefOrder>6</b:RefOrder>
  </b:Source>
  <b:Source>
    <b:Tag>Cha18</b:Tag>
    <b:SourceType>JournalArticle</b:SourceType>
    <b:Guid>{2473E6C6-E07C-4F58-95A7-3801A9D921C4}</b:Guid>
    <b:Author>
      <b:Author>
        <b:NameList>
          <b:Person>
            <b:Last>Chaudhary</b:Last>
            <b:First>S.</b:First>
            <b:Middle>K.</b:Middle>
          </b:Person>
          <b:Person>
            <b:Last>Xiumin</b:Last>
            <b:First>L.</b:First>
            <b:Middle>(2018).</b:Middle>
          </b:Person>
        </b:NameList>
      </b:Author>
    </b:Author>
    <b:Title>Analysis of the determinants of inflation in Nepal.</b:Title>
    <b:JournalName>American Journal of Economics,</b:JournalName>
    <b:Year>2018</b:Year>
    <b:Pages> 8(5), 209–212.</b:Pages>
    <b:RefOrder>8</b:RefOrder>
  </b:Source>
  <b:Source>
    <b:Tag>Vin13</b:Tag>
    <b:SourceType>JournalArticle</b:SourceType>
    <b:Guid>{BAD47472-A664-4989-A45D-DD60AF96A8A5}</b:Guid>
    <b:Author>
      <b:Author>
        <b:NameList>
          <b:Person>
            <b:Last>Vinayagathasan</b:Last>
            <b:First>T.</b:First>
            <b:Middle>(2013).</b:Middle>
          </b:Person>
        </b:NameList>
      </b:Author>
    </b:Author>
    <b:Title>Monetary policy and the real economy: A Structural VAR approach for Srilanka </b:Title>
    <b:JournalName>GRIPS.</b:JournalName>
    <b:Year>2013</b:Year>
    <b:Pages>(Discussion Paper 13-13). </b:Pages>
    <b:RefOrder>9</b:RefOrder>
  </b:Source>
  <b:Source>
    <b:Tag>Ahm05</b:Tag>
    <b:SourceType>JournalArticle</b:SourceType>
    <b:Guid>{F12D021B-E1EE-41B6-8493-1512C00F0568}</b:Guid>
    <b:Author>
      <b:Author>
        <b:NameList>
          <b:Person>
            <b:Last>Ahmad</b:Last>
            <b:First>M.</b:First>
          </b:Person>
        </b:NameList>
      </b:Author>
    </b:Author>
    <b:Title>How well does the IS-LM model fit in a Developing Economy: The Case of India. </b:Title>
    <b:JournalName>International Journal of Applied Economics, </b:JournalName>
    <b:Year>2005</b:Year>
    <b:Pages>2(1), 90–106.</b:Pages>
    <b:RefOrder>10</b:RefOrder>
  </b:Source>
  <b:Source>
    <b:Tag>Sto89</b:Tag>
    <b:SourceType>JournalArticle</b:SourceType>
    <b:Guid>{6B6CF435-6E64-4F78-9F5B-0801E5C58402}</b:Guid>
    <b:Author>
      <b:Author>
        <b:NameList>
          <b:Person>
            <b:Last>Stock</b:Last>
            <b:First>J.</b:First>
            <b:Middle>H.</b:Middle>
          </b:Person>
          <b:Person>
            <b:Last>Watson</b:Last>
            <b:First>M.</b:First>
            <b:Middle>W.</b:Middle>
          </b:Person>
        </b:NameList>
      </b:Author>
    </b:Author>
    <b:Title>New indexes of coincident and leading economic indicators</b:Title>
    <b:JournalName> NBER Macroeconomics Annual, </b:JournalName>
    <b:Year>1989</b:Year>
    <b:Pages>351–393.</b:Pages>
    <b:RefOrder>11</b:RefOrder>
  </b:Source>
  <b:Source>
    <b:Tag>Sab141</b:Tag>
    <b:SourceType>JournalArticle</b:SourceType>
    <b:Guid>{1E62CC27-912C-4C3D-A4C4-31F78F42E755}</b:Guid>
    <b:Author>
      <b:Author>
        <b:NameList>
          <b:Person>
            <b:Last>Sabade</b:Last>
            <b:First>S.</b:First>
          </b:Person>
        </b:NameList>
      </b:Author>
    </b:Author>
    <b:Title>Is money supply the cause of inflation in India? An alternative postulate to understand inflation. </b:Title>
    <b:JournalName>Procedia- Social and Behavioral Sciences,</b:JournalName>
    <b:Year>2014</b:Year>
    <b:Pages>133, 379–382.</b:Pages>
    <b:RefOrder>12</b:RefOrder>
  </b:Source>
  <b:Source>
    <b:Tag>Par14</b:Tag>
    <b:SourceType>JournalArticle</b:SourceType>
    <b:Guid>{69815F82-058A-4ED3-A58B-7FA537CD9797}</b:Guid>
    <b:Author>
      <b:Author>
        <b:NameList>
          <b:Person>
            <b:Last>Paramanik</b:Last>
            <b:First>R.</b:First>
            <b:Middle>N.</b:Middle>
          </b:Person>
          <b:Person>
            <b:Last>Kamaiah</b:Last>
            <b:First>B.</b:First>
          </b:Person>
        </b:NameList>
      </b:Author>
    </b:Author>
    <b:Title> A structural vector autoregression model for monetary policy analysis in India. </b:Title>
    <b:JournalName>Margin- The Journal of Applied Economic Research, </b:JournalName>
    <b:Year>2014</b:Year>
    <b:Pages>8(4), 401–429.</b:Pages>
    <b:RefOrder>13</b:RefOrder>
  </b:Source>
  <b:Source>
    <b:Tag>Ram10</b:Tag>
    <b:SourceType>JournalArticle</b:SourceType>
    <b:Guid>{C224A6AD-4A00-4C61-A57B-E953D8AB8F7A}</b:Guid>
    <b:Author>
      <b:Author>
        <b:NameList>
          <b:Person>
            <b:Last>Rami</b:Last>
            <b:First>G.</b:First>
          </b:Person>
        </b:NameList>
      </b:Author>
    </b:Author>
    <b:Title>Causality between money, prices and output in India (1951–2005): A Granger causality approach. </b:Title>
    <b:JournalName>Journal of Quantitative Economics, </b:JournalName>
    <b:Year>2010</b:Year>
    <b:Pages>8(2), 20–41.</b:Pages>
    <b:RefOrder>14</b:RefOrder>
  </b:Source>
  <b:Source>
    <b:Tag>Ram04</b:Tag>
    <b:SourceType>JournalArticle</b:SourceType>
    <b:Guid>{941A9012-E1DC-4D93-8544-5A2173AADFC2}</b:Guid>
    <b:Author>
      <b:Author>
        <b:NameList>
          <b:Person>
            <b:Last>Ramachandran</b:Last>
            <b:First>M.</b:First>
          </b:Person>
        </b:NameList>
      </b:Author>
    </b:Author>
    <b:Title>Do broad money, output, and prices stand for a stable relationship in India.</b:Title>
    <b:JournalName> Journal of Policy Modeling, </b:JournalName>
    <b:Year>2004</b:Year>
    <b:Pages>26, 983–1001.</b:Pages>
    <b:RefOrder>15</b:RefOrder>
  </b:Source>
  <b:Source>
    <b:Tag>Das10</b:Tag>
    <b:SourceType>JournalArticle</b:SourceType>
    <b:Guid>{9A82D40F-F8ED-460E-93E1-DAD143C07021}</b:Guid>
    <b:Author>
      <b:Author>
        <b:NameList>
          <b:Person>
            <b:Last>Das</b:Last>
            <b:First>R.</b:First>
          </b:Person>
        </b:NameList>
      </b:Author>
    </b:Author>
    <b:Title>Econometric models of relationship among money, output and prices </b:Title>
    <b:JournalName>(Munich Personal RePEc Archieve Paper No. 22884). RePEc.</b:JournalName>
    <b:Year>2010</b:Year>
    <b:RefOrder>16</b:RefOrder>
  </b:Source>
  <b:Source>
    <b:Tag>Api203</b:Tag>
    <b:SourceType>JournalArticle</b:SourceType>
    <b:Guid>{9B1F6CEC-8F04-4E06-88C9-A2730F55E7C4}</b:Guid>
    <b:Author>
      <b:Author>
        <b:NameList>
          <b:Person>
            <b:Last>Sharma</b:Last>
            <b:First>Apica</b:First>
          </b:Person>
          <b:Person>
            <b:Last>Nurudeen</b:Last>
            <b:First>Ibrahim</b:First>
          </b:Person>
        </b:NameList>
      </b:Author>
    </b:Author>
    <b:Title>Monetary Policy Disturbance in India: The Relationships Among Money, Output and Prices</b:Title>
    <b:JournalName>The Indian Economic Journal</b:JournalName>
    <b:Year>2020</b:Year>
    <b:Pages>Vol 67, Issue 3-4</b:Pages>
    <b:RefOrder>17</b:RefOrder>
  </b:Source>
  <b:Source>
    <b:Tag>Ber95</b:Tag>
    <b:SourceType>JournalArticle</b:SourceType>
    <b:Guid>{98A6D333-D192-44B6-AB05-B57E091541F6}</b:Guid>
    <b:Author>
      <b:Author>
        <b:NameList>
          <b:Person>
            <b:Last>Bernanke</b:Last>
            <b:First>Ben</b:First>
            <b:Middle>S.</b:Middle>
          </b:Person>
          <b:Person>
            <b:Last>Gertler.</b:Last>
            <b:First>Mark</b:First>
          </b:Person>
        </b:NameList>
      </b:Author>
    </b:Author>
    <b:Title>Inside the Black Box: The Credit Channel of Monetary Policy Transmission.</b:Title>
    <b:JournalName> Journal of Economic Perspectives,</b:JournalName>
    <b:Year>1995</b:Year>
    <b:Pages> 9 (4): 27-48.</b:Pages>
    <b:RefOrder>18</b:RefOrder>
  </b:Source>
  <b:Source>
    <b:Tag>Ste98</b:Tag>
    <b:SourceType>JournalArticle</b:SourceType>
    <b:Guid>{99264F4F-2524-46AA-957E-3583D08D6292}</b:Guid>
    <b:Author>
      <b:Author>
        <b:NameList>
          <b:Person>
            <b:Last>Kamin</b:Last>
            <b:First>Steven</b:First>
          </b:Person>
          <b:Person>
            <b:Last>Turner</b:Last>
            <b:First>Philip</b:First>
          </b:Person>
          <b:Person>
            <b:Last>dack</b:Last>
            <b:First>Jozef</b:First>
            <b:Middle>Van ’t</b:Middle>
          </b:Person>
        </b:NameList>
      </b:Author>
    </b:Author>
    <b:Title>The transmission mechanism of monetary policy in emerging market economies: an overview</b:Title>
    <b:JournalName>Bank of International Settlement </b:JournalName>
    <b:Year>1998</b:Year>
    <b:Pages>POLICY PAPERS No. 3, 5-64</b:Pages>
    <b:RefOrder>19</b:RefOrder>
  </b:Source>
  <b:Source>
    <b:Tag>Ben92</b:Tag>
    <b:SourceType>JournalArticle</b:SourceType>
    <b:Guid>{0A61EA36-DF3C-46CF-B4EC-203EF597B534}</b:Guid>
    <b:Author>
      <b:Author>
        <b:NameList>
          <b:Person>
            <b:Last>Bernanke</b:Last>
            <b:First>Ben</b:First>
            <b:Middle>S.</b:Middle>
          </b:Person>
          <b:Person>
            <b:Last>Blinder</b:Last>
            <b:First>Alan</b:First>
            <b:Middle>S.</b:Middle>
          </b:Person>
        </b:NameList>
      </b:Author>
    </b:Author>
    <b:Title>The Federal Funds Rate and the Channels of Monetary Transmission</b:Title>
    <b:JournalName>The American Economic Review</b:JournalName>
    <b:Year>1992</b:Year>
    <b:Pages>Vol. 82, No. 4 , pp. 901-921 (21 pages)</b:Pages>
    <b:RefOrder>23</b:RefOrder>
  </b:Source>
  <b:Source>
    <b:Tag>Fre95</b:Tag>
    <b:SourceType>JournalArticle</b:SourceType>
    <b:Guid>{BBE251C8-1375-416F-9810-C5FE44FE27C4}</b:Guid>
    <b:Author>
      <b:Author>
        <b:NameList>
          <b:Person>
            <b:Last>Mishkin</b:Last>
            <b:First>Frederic</b:First>
            <b:Middle>S.</b:Middle>
          </b:Person>
        </b:NameList>
      </b:Author>
    </b:Author>
    <b:Title>Symposium on the Monetary Transmission Mechanism</b:Title>
    <b:JournalName> Journal of Economic Perspectives, American Economic Association, </b:JournalName>
    <b:Year>1995</b:Year>
    <b:Pages>vol. 9(4), pages 3-10, Fall.</b:Pages>
    <b:RefOrder>24</b:RefOrder>
  </b:Source>
  <b:Source>
    <b:Tag>Joh95</b:Tag>
    <b:SourceType>JournalArticle</b:SourceType>
    <b:Guid>{A1C0170E-BADF-4EBF-83F8-2BBC10F1E9FD}</b:Guid>
    <b:Author>
      <b:Author>
        <b:NameList>
          <b:Person>
            <b:Last>Taylor</b:Last>
            <b:First>John</b:First>
            <b:Middle>B.</b:Middle>
          </b:Person>
        </b:NameList>
      </b:Author>
    </b:Author>
    <b:Title>The Monetary Transmission Mechanism: An Empirical Framework</b:Title>
    <b:JournalName>Journal of Economic Perspectives </b:JournalName>
    <b:Year>1995</b:Year>
    <b:Pages>Volume 9, Number 4 — Fall 1995 — Pages 11–26</b:Pages>
    <b:RefOrder>25</b:RefOrder>
  </b:Source>
  <b:Source>
    <b:Tag>Jea101</b:Tag>
    <b:SourceType>JournalArticle</b:SourceType>
    <b:Guid>{747DC09B-97E2-4296-868C-C7A858603660}</b:Guid>
    <b:Author>
      <b:Author>
        <b:NameList>
          <b:Person>
            <b:Last>Boivin</b:Last>
            <b:First>Jean</b:First>
          </b:Person>
          <b:Person>
            <b:Last>Kiley</b:Last>
            <b:First>Michael</b:First>
          </b:Person>
          <b:Person>
            <b:Last>Mishkin</b:Last>
            <b:First>Frederic</b:First>
          </b:Person>
        </b:NameList>
      </b:Author>
    </b:Author>
    <b:Title>How Has the Monetary Transmission Mechanism Evolved Over Time?</b:Title>
    <b:JournalName> Handbook of Monetary Economics </b:JournalName>
    <b:Year>2010</b:Year>
    <b:Pages>vol. 3, pp 369-422</b:Pages>
    <b:RefOrder>26</b:RefOrder>
  </b:Source>
  <b:Source>
    <b:Tag>Lau15</b:Tag>
    <b:SourceType>JournalArticle</b:SourceType>
    <b:Guid>{7B84E10A-E3E6-45E4-8610-252885CEB5F4}</b:Guid>
    <b:Author>
      <b:Author>
        <b:NameList>
          <b:Person>
            <b:Last>Laurens</b:Last>
            <b:First>B.J.</b:First>
          </b:Person>
          <b:Person>
            <b:Last>Eckhold</b:Last>
            <b:First>K.</b:First>
          </b:Person>
          <b:Person>
            <b:Last>King</b:Last>
            <b:First>D.</b:First>
          </b:Person>
          <b:Person>
            <b:Last>Maehle</b:Last>
            <b:First>N.</b:First>
          </b:Person>
          <b:Person>
            <b:Last>Naseer</b:Last>
            <b:First>A.</b:First>
          </b:Person>
          <b:Person>
            <b:Last>Durré</b:Last>
            <b:First>A.</b:First>
          </b:Person>
        </b:NameList>
      </b:Author>
    </b:Author>
    <b:Title>The journey of inflation targeting: Easier said than done the case for transitional arrangements along the road.  </b:Title>
    <b:JournalName>International Monetary Fund,</b:JournalName>
    <b:Year>2015</b:Year>
    <b:Pages>WP/15/136.</b:Pages>
    <b:RefOrder>28</b:RefOrder>
  </b:Source>
  <b:Source>
    <b:Tag>Mis16</b:Tag>
    <b:SourceType>JournalArticle</b:SourceType>
    <b:Guid>{353FDA2F-7B18-4999-8D07-182C7D81B816}</b:Guid>
    <b:Author>
      <b:Author>
        <b:NameList>
          <b:Person>
            <b:Last>Mishkin</b:Last>
            <b:First>F.</b:First>
            <b:Middle>S.</b:Middle>
          </b:Person>
        </b:NameList>
      </b:Author>
    </b:Author>
    <b:Title>The economics of money, banking, and financial markets. </b:Title>
    <b:JournalName>Pearson: Columbia University.</b:JournalName>
    <b:Year>2016</b:Year>
    <b:RefOrder>29</b:RefOrder>
  </b:Source>
  <b:Source>
    <b:Tag>Pur191</b:Tag>
    <b:SourceType>JournalArticle</b:SourceType>
    <b:Guid>{D8A771D0-3271-49E6-94C5-04DA50EF08B2}</b:Guid>
    <b:Author>
      <b:Author>
        <b:NameList>
          <b:Person>
            <b:Last>Shaw</b:Last>
            <b:First>Purnima</b:First>
          </b:Person>
        </b:NameList>
      </b:Author>
    </b:Author>
    <b:Title>Using Rational Expectations to Predict Inflation</b:Title>
    <b:JournalName>Reserve Bank of India Occasional Papers</b:JournalName>
    <b:Year>2019</b:Year>
    <b:Pages>Vol. 40, No. 1, 2019</b:Pages>
    <b:RefOrder>32</b:RefOrder>
  </b:Source>
  <b:Source>
    <b:Tag>Gau201</b:Tag>
    <b:SourceType>JournalArticle</b:SourceType>
    <b:Guid>{22A2EEFB-68D7-45C6-BD68-72478ADA81E3}</b:Guid>
    <b:Author>
      <b:Author>
        <b:NameList>
          <b:Person>
            <b:Last>SIngh</b:Last>
            <b:First>Gaurav</b:First>
            <b:Middle>Kumar</b:Middle>
          </b:Person>
        </b:NameList>
      </b:Author>
    </b:Author>
    <b:Title>Expectations formation of household inflation expectations</b:Title>
    <b:JournalName>Indian Institute of Management, Ahmedabad Working Paper</b:JournalName>
    <b:Year>2020</b:Year>
    <b:Pages>W. P. No. 2020-12-02 </b:Pages>
    <b:RefOrder>33</b:RefOrder>
  </b:Source>
  <b:Source>
    <b:Tag>Sit20</b:Tag>
    <b:SourceType>JournalArticle</b:SourceType>
    <b:Guid>{4D38ED49-85D8-4452-8F11-AE6A5159DC47}</b:Guid>
    <b:Author>
      <b:Author>
        <b:NameList>
          <b:Person>
            <b:Last>Pattnaik</b:Last>
            <b:First>Sitikantha</b:First>
          </b:Person>
          <b:Person>
            <b:Last>Muduli</b:Last>
            <b:First>Silu</b:First>
          </b:Person>
          <b:Person>
            <b:Last>Ray</b:Last>
            <b:First>Soumyajit</b:First>
          </b:Person>
        </b:NameList>
      </b:Author>
    </b:Author>
    <b:Title>Inflation expectations of households: do they influence wage-price dynamics in India?</b:Title>
    <b:JournalName>Macroeconomics and Finance in Emerging Market Economies </b:JournalName>
    <b:Year>2020</b:Year>
    <b:Pages>Volume 13, 2020 - Issue 3</b:Pages>
    <b:RefOrder>34</b:RefOrder>
  </b:Source>
</b:Sources>
</file>

<file path=customXml/itemProps1.xml><?xml version="1.0" encoding="utf-8"?>
<ds:datastoreItem xmlns:ds="http://schemas.openxmlformats.org/officeDocument/2006/customXml" ds:itemID="{95518872-D333-4CF5-9F85-348AFC298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759</Words>
  <Characters>4330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apicaoneplus09@gmail.com</dc:creator>
  <cp:keywords/>
  <dc:description/>
  <cp:lastModifiedBy>Poonam Mutha</cp:lastModifiedBy>
  <cp:revision>3</cp:revision>
  <dcterms:created xsi:type="dcterms:W3CDTF">2023-04-24T15:07:00Z</dcterms:created>
  <dcterms:modified xsi:type="dcterms:W3CDTF">2024-01-16T10:17:00Z</dcterms:modified>
</cp:coreProperties>
</file>