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DA5CE" w14:textId="3D52BD5B" w:rsidR="00C778A3" w:rsidRPr="00C778A3" w:rsidRDefault="00C778A3" w:rsidP="00C778A3">
      <w:pPr>
        <w:jc w:val="center"/>
        <w:rPr>
          <w:rFonts w:ascii="Times New Roman" w:hAnsi="Times New Roman" w:cs="Times New Roman"/>
          <w:sz w:val="24"/>
          <w:szCs w:val="24"/>
        </w:rPr>
      </w:pPr>
      <w:r w:rsidRPr="00C778A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5CAB09" wp14:editId="1D5FA82F">
            <wp:extent cx="2647950" cy="2633980"/>
            <wp:effectExtent l="0" t="0" r="0" b="0"/>
            <wp:docPr id="874765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C8CFD" w14:textId="60900787" w:rsidR="00FE7FF9" w:rsidRPr="00C778A3" w:rsidRDefault="00FE7FF9" w:rsidP="00FE7FF9">
      <w:pPr>
        <w:rPr>
          <w:rFonts w:ascii="Times New Roman" w:hAnsi="Times New Roman" w:cs="Times New Roman"/>
          <w:sz w:val="24"/>
          <w:szCs w:val="24"/>
        </w:rPr>
      </w:pPr>
      <w:r w:rsidRPr="00C778A3">
        <w:rPr>
          <w:rFonts w:ascii="Times New Roman" w:hAnsi="Times New Roman" w:cs="Times New Roman"/>
          <w:sz w:val="24"/>
          <w:szCs w:val="24"/>
        </w:rPr>
        <w:t>Graphical abstracts:</w:t>
      </w:r>
    </w:p>
    <w:p w14:paraId="4072B798" w14:textId="77777777" w:rsidR="00FE7FF9" w:rsidRPr="00C778A3" w:rsidRDefault="00FE7FF9" w:rsidP="00FE7FF9">
      <w:pPr>
        <w:rPr>
          <w:rFonts w:ascii="Times New Roman" w:hAnsi="Times New Roman" w:cs="Times New Roman"/>
          <w:sz w:val="24"/>
          <w:szCs w:val="24"/>
        </w:rPr>
      </w:pPr>
      <w:r w:rsidRPr="00C778A3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C778A3">
        <w:rPr>
          <w:rFonts w:ascii="Times New Roman" w:hAnsi="Times New Roman" w:cs="Times New Roman"/>
          <w:sz w:val="24"/>
          <w:szCs w:val="24"/>
        </w:rPr>
        <w:t>exosomal</w:t>
      </w:r>
      <w:proofErr w:type="spellEnd"/>
      <w:r w:rsidRPr="00C778A3">
        <w:rPr>
          <w:rFonts w:ascii="Times New Roman" w:hAnsi="Times New Roman" w:cs="Times New Roman"/>
          <w:sz w:val="24"/>
          <w:szCs w:val="24"/>
        </w:rPr>
        <w:t xml:space="preserve"> circPDSS1 derived from gastric cancer cells promotes the ferroptosis of natural killer cells by regulating the molecular axis of miR-1278/GOT1, and then promotes the immune escape of gastric cancer cells, thus inducing the progression of gastric cancer.</w:t>
      </w:r>
    </w:p>
    <w:p w14:paraId="7C49A383" w14:textId="77777777" w:rsidR="009E1A06" w:rsidRPr="00C778A3" w:rsidRDefault="009E1A06"/>
    <w:sectPr w:rsidR="009E1A06" w:rsidRPr="00C77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4CFDC" w14:textId="77777777" w:rsidR="00FE7FF9" w:rsidRDefault="00FE7FF9" w:rsidP="00FE7FF9">
      <w:r>
        <w:separator/>
      </w:r>
    </w:p>
  </w:endnote>
  <w:endnote w:type="continuationSeparator" w:id="0">
    <w:p w14:paraId="77C83601" w14:textId="77777777" w:rsidR="00FE7FF9" w:rsidRDefault="00FE7FF9" w:rsidP="00FE7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A855FA" w14:textId="77777777" w:rsidR="00FE7FF9" w:rsidRDefault="00FE7FF9" w:rsidP="00FE7FF9">
      <w:r>
        <w:separator/>
      </w:r>
    </w:p>
  </w:footnote>
  <w:footnote w:type="continuationSeparator" w:id="0">
    <w:p w14:paraId="5DD1C403" w14:textId="77777777" w:rsidR="00FE7FF9" w:rsidRDefault="00FE7FF9" w:rsidP="00FE7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B5E"/>
    <w:rsid w:val="00125B5E"/>
    <w:rsid w:val="009E1A06"/>
    <w:rsid w:val="00C778A3"/>
    <w:rsid w:val="00FE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7898F0"/>
  <w15:chartTrackingRefBased/>
  <w15:docId w15:val="{88770AFB-3557-45DB-9EE9-1AEC76CA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7F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7F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7F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7F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2023-11-23T09:36:00Z</dcterms:created>
  <dcterms:modified xsi:type="dcterms:W3CDTF">2023-11-23T09:38:00Z</dcterms:modified>
</cp:coreProperties>
</file>