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1A0888" w14:textId="77777777" w:rsidR="0065014C" w:rsidRPr="00CE7A87" w:rsidRDefault="0065014C" w:rsidP="0065014C">
      <w:pPr>
        <w:spacing w:after="0" w:afterAutospacing="1" w:line="240" w:lineRule="auto"/>
        <w:jc w:val="both"/>
        <w:textAlignment w:val="baseline"/>
        <w:rPr>
          <w:rFonts w:ascii="Arial" w:eastAsia="Times New Roman" w:hAnsi="Arial" w:cs="Arial"/>
          <w:color w:val="000000"/>
          <w:sz w:val="20"/>
          <w:szCs w:val="20"/>
          <w:lang w:val="en-US" w:eastAsia="es-MX"/>
        </w:rPr>
      </w:pPr>
      <w:r w:rsidRPr="00CE7A87">
        <w:rPr>
          <w:rFonts w:ascii="Arial" w:eastAsia="Times New Roman" w:hAnsi="Arial" w:cs="Arial"/>
          <w:b/>
          <w:bCs/>
          <w:color w:val="000000"/>
          <w:sz w:val="20"/>
          <w:szCs w:val="20"/>
          <w:bdr w:val="none" w:sz="0" w:space="0" w:color="auto" w:frame="1"/>
          <w:lang w:val="en-US" w:eastAsia="es-MX"/>
        </w:rPr>
        <w:t>What is already known on this topic</w:t>
      </w:r>
      <w:r w:rsidRPr="00CE7A87">
        <w:rPr>
          <w:rFonts w:ascii="Arial" w:eastAsia="Times New Roman" w:hAnsi="Arial" w:cs="Arial"/>
          <w:color w:val="000000"/>
          <w:sz w:val="20"/>
          <w:szCs w:val="20"/>
          <w:lang w:val="en-US" w:eastAsia="es-MX"/>
        </w:rPr>
        <w:t> HbA1c reflects the mean glucose concentration over the past 8 to 12 weeks. It is well documented that elevated HbA1c levels are associated with an increased risk of complications. However, GV as well as sustained hyperglycemia might be even more important. A frequently used measure of GV is the MAGE, which reflects the mean of the differences between consecutive peaks and nadirs of blood glucose concentrations and is therefore independent of the mean glucose level.</w:t>
      </w:r>
    </w:p>
    <w:p w14:paraId="5BC61874" w14:textId="77777777" w:rsidR="0065014C" w:rsidRPr="00CE7A87" w:rsidRDefault="0065014C" w:rsidP="0065014C">
      <w:pPr>
        <w:jc w:val="both"/>
        <w:rPr>
          <w:rFonts w:ascii="Arial" w:hAnsi="Arial" w:cs="Arial"/>
          <w:sz w:val="20"/>
          <w:szCs w:val="20"/>
          <w:lang w:val="en-US"/>
        </w:rPr>
      </w:pPr>
      <w:r w:rsidRPr="00CE7A87">
        <w:rPr>
          <w:rFonts w:ascii="Arial" w:eastAsia="Times New Roman" w:hAnsi="Arial" w:cs="Arial"/>
          <w:b/>
          <w:bCs/>
          <w:color w:val="000000"/>
          <w:sz w:val="20"/>
          <w:szCs w:val="20"/>
          <w:bdr w:val="none" w:sz="0" w:space="0" w:color="auto" w:frame="1"/>
          <w:lang w:val="en-US" w:eastAsia="es-MX"/>
        </w:rPr>
        <w:t>What this study adds</w:t>
      </w:r>
      <w:r w:rsidRPr="00CE7A87">
        <w:rPr>
          <w:rFonts w:ascii="Arial" w:eastAsia="Times New Roman" w:hAnsi="Arial" w:cs="Arial"/>
          <w:color w:val="000000"/>
          <w:sz w:val="20"/>
          <w:szCs w:val="20"/>
          <w:lang w:val="en-US" w:eastAsia="es-MX"/>
        </w:rPr>
        <w:t xml:space="preserve"> is that </w:t>
      </w:r>
      <w:r w:rsidRPr="00CE7A87">
        <w:rPr>
          <w:rFonts w:ascii="Arial" w:hAnsi="Arial" w:cs="Arial"/>
          <w:sz w:val="20"/>
          <w:szCs w:val="20"/>
          <w:lang w:val="en-US"/>
        </w:rPr>
        <w:t>early treatment with DAPA+MET in newly diagnosed Mexican T2DM subjects showed a statistically significant improvement on GV (MAGE), TIR, BMI, insulin, triglycerides, weight, and uric acid serum concentrations, in comparison with MET alone.</w:t>
      </w:r>
    </w:p>
    <w:p w14:paraId="59A50C2E" w14:textId="77777777" w:rsidR="0065014C" w:rsidRPr="00385CA9" w:rsidRDefault="0065014C" w:rsidP="0065014C">
      <w:pPr>
        <w:jc w:val="both"/>
        <w:rPr>
          <w:rFonts w:ascii="Arial" w:eastAsia="Times New Roman" w:hAnsi="Arial" w:cs="Arial"/>
          <w:color w:val="000000"/>
          <w:sz w:val="20"/>
          <w:szCs w:val="20"/>
          <w:lang w:val="en-US" w:eastAsia="es-MX"/>
        </w:rPr>
      </w:pPr>
      <w:r w:rsidRPr="00CE7A87">
        <w:rPr>
          <w:rFonts w:ascii="Arial" w:eastAsia="Times New Roman" w:hAnsi="Arial" w:cs="Arial"/>
          <w:b/>
          <w:bCs/>
          <w:color w:val="000000"/>
          <w:sz w:val="20"/>
          <w:szCs w:val="20"/>
          <w:bdr w:val="none" w:sz="0" w:space="0" w:color="auto" w:frame="1"/>
          <w:lang w:val="en-US" w:eastAsia="es-MX"/>
        </w:rPr>
        <w:t>How this study might affect research, practice or policy:</w:t>
      </w:r>
      <w:r w:rsidRPr="00CE7A87">
        <w:rPr>
          <w:rFonts w:ascii="Arial" w:eastAsia="Times New Roman" w:hAnsi="Arial" w:cs="Arial"/>
          <w:color w:val="000000"/>
          <w:sz w:val="20"/>
          <w:szCs w:val="20"/>
          <w:lang w:val="en-US" w:eastAsia="es-MX"/>
        </w:rPr>
        <w:t> </w:t>
      </w:r>
      <w:bookmarkStart w:id="0" w:name="_Hlk129111172"/>
      <w:r w:rsidRPr="00CE7A87">
        <w:rPr>
          <w:rFonts w:ascii="Arial" w:hAnsi="Arial" w:cs="Arial"/>
          <w:sz w:val="20"/>
          <w:szCs w:val="20"/>
          <w:lang w:val="en-US"/>
        </w:rPr>
        <w:t xml:space="preserve">In this study we found that after 12 weeks GV was significantly reduced in patients treated with DAPA+MET than in patients who were treated only with MET. These results enhance the indication to start </w:t>
      </w:r>
      <w:r w:rsidRPr="00CE7A87">
        <w:rPr>
          <w:rFonts w:ascii="Arial" w:eastAsia="Times New Roman" w:hAnsi="Arial" w:cs="Arial"/>
          <w:color w:val="000000"/>
          <w:sz w:val="20"/>
          <w:szCs w:val="20"/>
          <w:lang w:val="en-US" w:eastAsia="es-MX"/>
        </w:rPr>
        <w:t>early dual treatment in newly diagnosed T2DM subjects and might prevent or at least delay the development of complications related to oxidative stress that GV generates</w:t>
      </w:r>
      <w:bookmarkEnd w:id="0"/>
      <w:r w:rsidRPr="00CE7A87">
        <w:rPr>
          <w:rFonts w:ascii="Arial" w:eastAsia="Times New Roman" w:hAnsi="Arial" w:cs="Arial"/>
          <w:color w:val="000000"/>
          <w:sz w:val="20"/>
          <w:szCs w:val="20"/>
          <w:lang w:val="en-US" w:eastAsia="es-MX"/>
        </w:rPr>
        <w:t>.</w:t>
      </w:r>
    </w:p>
    <w:p w14:paraId="2BD12C16" w14:textId="77777777" w:rsidR="0065014C" w:rsidRDefault="0065014C" w:rsidP="0065014C">
      <w:pPr>
        <w:jc w:val="both"/>
        <w:rPr>
          <w:rFonts w:ascii="Arial" w:hAnsi="Arial" w:cs="Arial"/>
          <w:sz w:val="20"/>
          <w:szCs w:val="20"/>
          <w:lang w:val="en-US"/>
        </w:rPr>
      </w:pPr>
    </w:p>
    <w:p w14:paraId="129506A3" w14:textId="77777777" w:rsidR="0065014C" w:rsidRDefault="0065014C" w:rsidP="0065014C">
      <w:pPr>
        <w:jc w:val="both"/>
        <w:rPr>
          <w:rFonts w:ascii="Arial" w:hAnsi="Arial" w:cs="Arial"/>
          <w:sz w:val="20"/>
          <w:szCs w:val="20"/>
          <w:lang w:val="en-US"/>
        </w:rPr>
      </w:pPr>
    </w:p>
    <w:p w14:paraId="7A2C48FE" w14:textId="77777777" w:rsidR="0065014C" w:rsidRDefault="0065014C" w:rsidP="0065014C">
      <w:pPr>
        <w:jc w:val="both"/>
        <w:rPr>
          <w:rFonts w:ascii="Arial" w:hAnsi="Arial" w:cs="Arial"/>
          <w:sz w:val="20"/>
          <w:szCs w:val="20"/>
          <w:lang w:val="en-US"/>
        </w:rPr>
      </w:pPr>
    </w:p>
    <w:p w14:paraId="0FF937CE" w14:textId="77777777" w:rsidR="0065014C" w:rsidRDefault="0065014C" w:rsidP="0065014C">
      <w:pPr>
        <w:jc w:val="both"/>
        <w:rPr>
          <w:rFonts w:ascii="Arial" w:hAnsi="Arial" w:cs="Arial"/>
          <w:sz w:val="20"/>
          <w:szCs w:val="20"/>
          <w:lang w:val="en-US"/>
        </w:rPr>
      </w:pPr>
    </w:p>
    <w:p w14:paraId="2DECA92B" w14:textId="77777777" w:rsidR="00BE486C" w:rsidRDefault="00BE486C"/>
    <w:sectPr w:rsidR="00BE486C">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014C"/>
    <w:rsid w:val="0065014C"/>
    <w:rsid w:val="00BE486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13127A"/>
  <w15:chartTrackingRefBased/>
  <w15:docId w15:val="{610DD21D-64B7-437A-B821-A6A4ED66A9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014C"/>
    <w:rPr>
      <w:kern w:val="0"/>
      <w:lang w:val="es-MX"/>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180</Words>
  <Characters>1029</Characters>
  <Application>Microsoft Office Word</Application>
  <DocSecurity>0</DocSecurity>
  <Lines>8</Lines>
  <Paragraphs>2</Paragraphs>
  <ScaleCrop>false</ScaleCrop>
  <Company>Springer Nature</Company>
  <LinksUpToDate>false</LinksUpToDate>
  <CharactersWithSpaces>1207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2024-01-22T18:33:00Z</dcterms:created>
  <dcterms:modified xsi:type="dcterms:W3CDTF">2024-01-22T18:34:00Z</dcterms:modified>
</cp:coreProperties>
</file>