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7696D1" w14:textId="77777777" w:rsidR="00BF379F" w:rsidRPr="0077254A" w:rsidRDefault="00BF379F" w:rsidP="00BF379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7254A">
        <w:rPr>
          <w:rFonts w:ascii="Times New Roman" w:hAnsi="Times New Roman" w:cs="Times New Roman"/>
          <w:b/>
          <w:bCs/>
          <w:sz w:val="28"/>
          <w:szCs w:val="28"/>
        </w:rPr>
        <w:t>Supplementary figures</w:t>
      </w:r>
    </w:p>
    <w:p w14:paraId="4184ACFD" w14:textId="77777777" w:rsidR="00BF379F" w:rsidRPr="0077254A" w:rsidRDefault="00BF379F" w:rsidP="00BF379F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68200532"/>
      <w:r w:rsidRPr="0077254A">
        <w:rPr>
          <w:rFonts w:ascii="Times New Roman" w:hAnsi="Times New Roman" w:cs="Times New Roman"/>
          <w:b/>
          <w:bCs/>
          <w:sz w:val="24"/>
          <w:szCs w:val="24"/>
        </w:rPr>
        <w:t>Fig.S1 Candidate</w:t>
      </w:r>
      <w:r w:rsidRPr="0077254A">
        <w:t xml:space="preserve"> </w:t>
      </w:r>
      <w:r w:rsidRPr="0077254A">
        <w:rPr>
          <w:rFonts w:ascii="Times New Roman" w:hAnsi="Times New Roman" w:cs="Times New Roman"/>
          <w:b/>
          <w:bCs/>
          <w:sz w:val="24"/>
          <w:szCs w:val="24"/>
        </w:rPr>
        <w:t xml:space="preserve">IRGPs identified by LASSO Cox regression analysis. </w:t>
      </w:r>
      <w:r w:rsidRPr="0077254A">
        <w:rPr>
          <w:rFonts w:ascii="Times New Roman" w:hAnsi="Times New Roman" w:cs="Times New Roman"/>
          <w:szCs w:val="21"/>
        </w:rPr>
        <w:t xml:space="preserve">(A) LASSO coefficient profiles of the 35 IRGs in training cohort. (B) A coefficient profile plot was generated against the log (lambda) sequence. Selection of the optimal parameter (lambda) in the LASSO model for training cohort. </w:t>
      </w:r>
      <w:r w:rsidRPr="0077254A">
        <w:rPr>
          <w:rFonts w:ascii="Times New Roman" w:hAnsi="Times New Roman" w:cs="Times New Roman"/>
        </w:rPr>
        <w:t xml:space="preserve">IRGPs, immune-relevant gene pairs; IRGs, immune-relevant genes; </w:t>
      </w:r>
    </w:p>
    <w:p w14:paraId="19ED3051" w14:textId="77777777" w:rsidR="00BF379F" w:rsidRPr="0077254A" w:rsidRDefault="00BF379F" w:rsidP="00BF379F">
      <w:pPr>
        <w:rPr>
          <w:rFonts w:ascii="Times New Roman" w:hAnsi="Times New Roman" w:cs="Times New Roman"/>
          <w:b/>
          <w:bCs/>
          <w:sz w:val="24"/>
        </w:rPr>
      </w:pPr>
    </w:p>
    <w:p w14:paraId="3B635510" w14:textId="77777777" w:rsidR="00BF379F" w:rsidRPr="0077254A" w:rsidRDefault="00BF379F" w:rsidP="00BF379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7254A">
        <w:rPr>
          <w:rFonts w:ascii="Times New Roman" w:hAnsi="Times New Roman" w:cs="Times New Roman"/>
          <w:b/>
          <w:bCs/>
          <w:sz w:val="24"/>
          <w:szCs w:val="24"/>
        </w:rPr>
        <w:t xml:space="preserve">Fig.S2 The biological function enrichment result of 28 IRGs by </w:t>
      </w:r>
      <w:proofErr w:type="spellStart"/>
      <w:r w:rsidRPr="0077254A">
        <w:rPr>
          <w:rFonts w:ascii="Times New Roman" w:hAnsi="Times New Roman" w:cs="Times New Roman"/>
          <w:b/>
          <w:bCs/>
          <w:sz w:val="24"/>
          <w:szCs w:val="24"/>
        </w:rPr>
        <w:t>Metascape</w:t>
      </w:r>
      <w:proofErr w:type="spellEnd"/>
      <w:r w:rsidRPr="0077254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7254A">
        <w:rPr>
          <w:rFonts w:ascii="Times New Roman" w:hAnsi="Times New Roman" w:cs="Times New Roman"/>
        </w:rPr>
        <w:t>(A) Top 20 GO terms</w:t>
      </w:r>
      <w:r w:rsidRPr="0077254A">
        <w:rPr>
          <w:rFonts w:ascii="Times New Roman" w:hAnsi="Times New Roman" w:cs="Times New Roman" w:hint="eastAsia"/>
        </w:rPr>
        <w:t xml:space="preserve"> </w:t>
      </w:r>
      <w:r w:rsidRPr="0077254A">
        <w:rPr>
          <w:rFonts w:ascii="Times New Roman" w:hAnsi="Times New Roman" w:cs="Times New Roman"/>
        </w:rPr>
        <w:t>enrichment results. (B) The KEGG enrichment results. IRGs, immune-relevant genes;</w:t>
      </w:r>
      <w:r w:rsidRPr="0077254A">
        <w:t xml:space="preserve"> </w:t>
      </w:r>
      <w:r w:rsidRPr="0077254A">
        <w:rPr>
          <w:rFonts w:ascii="Times New Roman" w:hAnsi="Times New Roman" w:cs="Times New Roman"/>
        </w:rPr>
        <w:t xml:space="preserve">GO, gene ontology; KEGG, Kyoto Encyclopedia of Genes and Genomes. </w:t>
      </w:r>
    </w:p>
    <w:p w14:paraId="6CC32525" w14:textId="77777777" w:rsidR="00BF379F" w:rsidRPr="0077254A" w:rsidRDefault="00BF379F" w:rsidP="00BF379F">
      <w:pPr>
        <w:rPr>
          <w:rFonts w:ascii="Times New Roman" w:hAnsi="Times New Roman" w:cs="Times New Roman"/>
          <w:b/>
          <w:bCs/>
          <w:sz w:val="24"/>
        </w:rPr>
      </w:pPr>
    </w:p>
    <w:p w14:paraId="1574F095" w14:textId="77777777" w:rsidR="00BF379F" w:rsidRPr="0077254A" w:rsidRDefault="00BF379F" w:rsidP="00BF379F">
      <w:pPr>
        <w:rPr>
          <w:rFonts w:ascii="Times New Roman" w:hAnsi="Times New Roman" w:cs="Times New Roman"/>
        </w:rPr>
      </w:pPr>
      <w:bookmarkStart w:id="1" w:name="_Hlk97109530"/>
      <w:r w:rsidRPr="0077254A">
        <w:rPr>
          <w:rFonts w:ascii="Times New Roman" w:hAnsi="Times New Roman" w:cs="Times New Roman"/>
          <w:b/>
          <w:bCs/>
          <w:sz w:val="24"/>
        </w:rPr>
        <w:t xml:space="preserve">Fig.S3 Validation of the IRGP prognostic signature in DFS and </w:t>
      </w:r>
      <w:bookmarkStart w:id="2" w:name="_Hlk96892042"/>
      <w:r w:rsidRPr="0077254A">
        <w:rPr>
          <w:rFonts w:ascii="Times New Roman" w:hAnsi="Times New Roman" w:cs="Times New Roman"/>
          <w:b/>
          <w:bCs/>
          <w:sz w:val="24"/>
        </w:rPr>
        <w:t>DMFS</w:t>
      </w:r>
      <w:bookmarkEnd w:id="2"/>
      <w:r w:rsidRPr="0077254A">
        <w:rPr>
          <w:rFonts w:ascii="Times New Roman" w:hAnsi="Times New Roman" w:cs="Times New Roman"/>
          <w:b/>
          <w:bCs/>
          <w:sz w:val="24"/>
        </w:rPr>
        <w:t xml:space="preserve"> prediction.</w:t>
      </w:r>
      <w:r w:rsidRPr="0077254A">
        <w:rPr>
          <w:rFonts w:ascii="Times New Roman" w:hAnsi="Times New Roman" w:cs="Times New Roman"/>
        </w:rPr>
        <w:t xml:space="preserve"> </w:t>
      </w:r>
      <w:bookmarkEnd w:id="1"/>
      <w:r w:rsidRPr="0077254A">
        <w:rPr>
          <w:rFonts w:ascii="Times New Roman" w:hAnsi="Times New Roman" w:cs="Times New Roman"/>
        </w:rPr>
        <w:t>(A) Kaplan-Meier curves for DFS between 387 low-risk and 303 high-risk of breast cancer patients in TCGA training cohort.</w:t>
      </w:r>
      <w:r w:rsidRPr="0077254A">
        <w:rPr>
          <w:rFonts w:ascii="Times New Roman" w:hAnsi="Times New Roman" w:cs="Times New Roman" w:hint="eastAsia"/>
        </w:rPr>
        <w:t xml:space="preserve"> </w:t>
      </w:r>
      <w:r w:rsidRPr="0077254A">
        <w:rPr>
          <w:rFonts w:ascii="Times New Roman" w:hAnsi="Times New Roman" w:cs="Times New Roman"/>
        </w:rPr>
        <w:t>(B) Kaplan-Meier curves for DFS between 222 low-risk and 72 high-risk of breast cancer patients in TCGA internal validation cohort.</w:t>
      </w:r>
      <w:r w:rsidRPr="0077254A">
        <w:rPr>
          <w:rFonts w:ascii="Times New Roman" w:hAnsi="Times New Roman" w:cs="Times New Roman" w:hint="eastAsia"/>
        </w:rPr>
        <w:t xml:space="preserve"> </w:t>
      </w:r>
      <w:bookmarkStart w:id="3" w:name="_Hlk97109609"/>
      <w:r w:rsidRPr="0077254A">
        <w:rPr>
          <w:rFonts w:ascii="Times New Roman" w:hAnsi="Times New Roman" w:cs="Times New Roman"/>
        </w:rPr>
        <w:t>(C) Kaplan-Meier curves for DMFS between 45 low-risk and 38 high-risk of breast cancer patients in GSE20685 validation cohort.</w:t>
      </w:r>
      <w:bookmarkEnd w:id="3"/>
      <w:r w:rsidRPr="0077254A">
        <w:rPr>
          <w:rFonts w:ascii="Times New Roman" w:hAnsi="Times New Roman" w:cs="Times New Roman"/>
        </w:rPr>
        <w:t xml:space="preserve"> (D) Kaplan-Meier curves for DFS between 33 low-risk and 71 high-risk of breast cancer patients in GSE42568 validation cohort.</w:t>
      </w:r>
      <w:r w:rsidRPr="0077254A">
        <w:rPr>
          <w:rFonts w:ascii="Times New Roman" w:hAnsi="Times New Roman" w:cs="Times New Roman" w:hint="eastAsia"/>
        </w:rPr>
        <w:t xml:space="preserve"> </w:t>
      </w:r>
      <w:r w:rsidRPr="0077254A">
        <w:rPr>
          <w:rFonts w:ascii="Times New Roman" w:hAnsi="Times New Roman" w:cs="Times New Roman"/>
        </w:rPr>
        <w:t>(E) Kaplan-Meier curves for DFS between 45 low-risk and 43 high-risk of breast cancer patients in GSE20711 validation cohort.</w:t>
      </w:r>
      <w:r w:rsidRPr="0077254A">
        <w:rPr>
          <w:rFonts w:ascii="Times New Roman" w:hAnsi="Times New Roman" w:cs="Times New Roman" w:hint="eastAsia"/>
        </w:rPr>
        <w:t xml:space="preserve"> </w:t>
      </w:r>
      <w:r w:rsidRPr="0077254A">
        <w:rPr>
          <w:rFonts w:ascii="Times New Roman" w:hAnsi="Times New Roman" w:cs="Times New Roman"/>
        </w:rPr>
        <w:t xml:space="preserve">(F–J) ROC curves analysis for DFS and DMFS </w:t>
      </w:r>
      <w:bookmarkStart w:id="4" w:name="_Hlk85655821"/>
      <w:r w:rsidRPr="0077254A">
        <w:rPr>
          <w:rFonts w:ascii="Times New Roman" w:hAnsi="Times New Roman" w:cs="Times New Roman"/>
        </w:rPr>
        <w:t xml:space="preserve">prediction </w:t>
      </w:r>
      <w:bookmarkEnd w:id="4"/>
      <w:r w:rsidRPr="0077254A">
        <w:rPr>
          <w:rFonts w:ascii="Times New Roman" w:hAnsi="Times New Roman" w:cs="Times New Roman"/>
        </w:rPr>
        <w:t xml:space="preserve">according to IRGP prognostic signature in TCGA training cohort (F), TCGA internal validation cohort (G), GSE20685 validation cohort (H), GSE42568 validation cohort (I), and GSE20711 validation cohort (J). </w:t>
      </w:r>
      <w:bookmarkStart w:id="5" w:name="_Hlk97109578"/>
      <w:r w:rsidRPr="0077254A">
        <w:rPr>
          <w:rFonts w:ascii="Times New Roman" w:hAnsi="Times New Roman" w:cs="Times New Roman"/>
        </w:rPr>
        <w:t xml:space="preserve">IRGP, immune-relevant gene pair; </w:t>
      </w:r>
      <w:bookmarkStart w:id="6" w:name="_Hlk96891784"/>
      <w:r w:rsidRPr="0077254A">
        <w:rPr>
          <w:rFonts w:ascii="Times New Roman" w:hAnsi="Times New Roman" w:cs="Times New Roman"/>
        </w:rPr>
        <w:t>DFS</w:t>
      </w:r>
      <w:bookmarkEnd w:id="6"/>
      <w:r w:rsidRPr="0077254A">
        <w:rPr>
          <w:rFonts w:ascii="Times New Roman" w:hAnsi="Times New Roman" w:cs="Times New Roman"/>
        </w:rPr>
        <w:t xml:space="preserve">, disease-free survival; </w:t>
      </w:r>
      <w:bookmarkStart w:id="7" w:name="_Hlk96892541"/>
      <w:r w:rsidRPr="0077254A">
        <w:rPr>
          <w:rFonts w:ascii="Times New Roman" w:hAnsi="Times New Roman" w:cs="Times New Roman"/>
        </w:rPr>
        <w:t>DMFS</w:t>
      </w:r>
      <w:bookmarkEnd w:id="7"/>
      <w:r w:rsidRPr="0077254A">
        <w:rPr>
          <w:rFonts w:ascii="Times New Roman" w:hAnsi="Times New Roman" w:cs="Times New Roman"/>
        </w:rPr>
        <w:t>, distant metastasis-free survival; ROC, receiver operating characteristic.</w:t>
      </w:r>
    </w:p>
    <w:bookmarkEnd w:id="0"/>
    <w:bookmarkEnd w:id="5"/>
    <w:p w14:paraId="423E4C96" w14:textId="77777777" w:rsidR="00BF379F" w:rsidRPr="0077254A" w:rsidRDefault="00BF379F" w:rsidP="00BF379F">
      <w:pPr>
        <w:spacing w:line="480" w:lineRule="auto"/>
      </w:pPr>
    </w:p>
    <w:p w14:paraId="6B0CE2C4" w14:textId="77777777" w:rsidR="00BF379F" w:rsidRPr="0077254A" w:rsidRDefault="00BF379F" w:rsidP="00BF379F">
      <w:pPr>
        <w:rPr>
          <w:rFonts w:ascii="Times New Roman" w:hAnsi="Times New Roman" w:cs="Times New Roman"/>
          <w:b/>
          <w:bCs/>
          <w:sz w:val="24"/>
        </w:rPr>
      </w:pPr>
      <w:r w:rsidRPr="0077254A">
        <w:rPr>
          <w:rFonts w:ascii="Times New Roman" w:hAnsi="Times New Roman" w:cs="Times New Roman"/>
          <w:b/>
          <w:bCs/>
          <w:sz w:val="24"/>
        </w:rPr>
        <w:t>Fig.S4 Single-cell RNA sequencing dataset GSE169246 showed the expression of 28 genes in IRGP signature in differential immune cell types.</w:t>
      </w:r>
    </w:p>
    <w:p w14:paraId="686475F5" w14:textId="77777777" w:rsidR="00BF379F" w:rsidRPr="0077254A" w:rsidRDefault="00BF379F" w:rsidP="00BF379F">
      <w:pPr>
        <w:spacing w:line="480" w:lineRule="auto"/>
      </w:pPr>
    </w:p>
    <w:p w14:paraId="710E2279" w14:textId="77777777" w:rsidR="00BF379F" w:rsidRPr="000179E9" w:rsidRDefault="00BF379F" w:rsidP="00BF379F">
      <w:pPr>
        <w:rPr>
          <w:rFonts w:ascii="Times New Roman" w:hAnsi="Times New Roman" w:cs="Times New Roman"/>
          <w:b/>
          <w:bCs/>
          <w:sz w:val="24"/>
        </w:rPr>
      </w:pPr>
      <w:r w:rsidRPr="0077254A">
        <w:rPr>
          <w:rFonts w:ascii="Times New Roman" w:hAnsi="Times New Roman" w:cs="Times New Roman"/>
          <w:b/>
          <w:bCs/>
          <w:sz w:val="24"/>
        </w:rPr>
        <w:t>Fig.S5 The relationship between IRGP prognostic signature and immune checkpoint inhibitor genes.</w:t>
      </w:r>
      <w:bookmarkStart w:id="8" w:name="_Hlk97038624"/>
      <w:r w:rsidRPr="0077254A">
        <w:rPr>
          <w:rFonts w:ascii="Times New Roman" w:hAnsi="Times New Roman" w:cs="Times New Roman"/>
          <w:b/>
          <w:bCs/>
          <w:sz w:val="24"/>
        </w:rPr>
        <w:t xml:space="preserve"> </w:t>
      </w:r>
      <w:bookmarkEnd w:id="8"/>
      <w:r w:rsidRPr="0077254A">
        <w:rPr>
          <w:rFonts w:ascii="Times New Roman" w:hAnsi="Times New Roman" w:cs="Times New Roman"/>
        </w:rPr>
        <w:t xml:space="preserve">(A-F) linear regression of IRGP prognostic signature against expression of PDCD1 </w:t>
      </w:r>
      <w:r w:rsidRPr="0077254A">
        <w:rPr>
          <w:rFonts w:ascii="Times New Roman" w:hAnsi="Times New Roman" w:cs="Times New Roman"/>
          <w:szCs w:val="21"/>
        </w:rPr>
        <w:t>(A)</w:t>
      </w:r>
      <w:r w:rsidRPr="0077254A">
        <w:rPr>
          <w:rFonts w:ascii="Times New Roman" w:hAnsi="Times New Roman" w:cs="Times New Roman"/>
        </w:rPr>
        <w:t xml:space="preserve">, CTLA-4 </w:t>
      </w:r>
      <w:r w:rsidRPr="0077254A">
        <w:rPr>
          <w:rFonts w:ascii="Times New Roman" w:hAnsi="Times New Roman" w:cs="Times New Roman"/>
          <w:szCs w:val="21"/>
        </w:rPr>
        <w:t>(B)</w:t>
      </w:r>
      <w:r w:rsidRPr="0077254A">
        <w:rPr>
          <w:rFonts w:ascii="Times New Roman" w:hAnsi="Times New Roman" w:cs="Times New Roman"/>
        </w:rPr>
        <w:t xml:space="preserve">, TIGIT (C), VSIR (D), CD276 </w:t>
      </w:r>
      <w:r w:rsidRPr="0077254A">
        <w:rPr>
          <w:rFonts w:ascii="Times New Roman" w:hAnsi="Times New Roman" w:cs="Times New Roman"/>
          <w:szCs w:val="21"/>
        </w:rPr>
        <w:t xml:space="preserve">(E), </w:t>
      </w:r>
      <w:r w:rsidRPr="0077254A">
        <w:rPr>
          <w:rFonts w:ascii="Times New Roman" w:hAnsi="Times New Roman" w:cs="Times New Roman"/>
        </w:rPr>
        <w:t>and CD274</w:t>
      </w:r>
      <w:r w:rsidRPr="0077254A">
        <w:rPr>
          <w:rFonts w:ascii="Times New Roman" w:hAnsi="Times New Roman" w:cs="Times New Roman"/>
          <w:szCs w:val="21"/>
        </w:rPr>
        <w:t xml:space="preserve"> (F)</w:t>
      </w:r>
      <w:r w:rsidRPr="0077254A">
        <w:rPr>
          <w:rFonts w:ascii="Times New Roman" w:hAnsi="Times New Roman" w:cs="Times New Roman"/>
        </w:rPr>
        <w:t>. (G-I) Box plot of immune checkpoint inhibitors between high- and low- risk group, including TIGIT (G), VSIR (H), and CD276 (I). IRGP, immune-relevant gene pair;</w:t>
      </w:r>
      <w:r w:rsidRPr="0077254A">
        <w:t xml:space="preserve"> </w:t>
      </w:r>
      <w:r w:rsidRPr="0077254A">
        <w:rPr>
          <w:rFonts w:ascii="Times New Roman" w:hAnsi="Times New Roman" w:cs="Times New Roman"/>
        </w:rPr>
        <w:t>immune checkpoint inhibitors.</w:t>
      </w:r>
    </w:p>
    <w:p w14:paraId="464D806E" w14:textId="77777777" w:rsidR="00BF379F" w:rsidRPr="00B50464" w:rsidRDefault="00BF379F" w:rsidP="00BF379F">
      <w:pPr>
        <w:rPr>
          <w:rFonts w:ascii="Times New Roman" w:hAnsi="Times New Roman" w:cs="Times New Roman"/>
          <w:b/>
          <w:bCs/>
          <w:sz w:val="24"/>
        </w:rPr>
      </w:pPr>
    </w:p>
    <w:p w14:paraId="6F76E02F" w14:textId="77777777" w:rsidR="0063318D" w:rsidRDefault="0063318D"/>
    <w:sectPr w:rsidR="006331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79F"/>
    <w:rsid w:val="0063318D"/>
    <w:rsid w:val="00BF3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D8655"/>
  <w15:chartTrackingRefBased/>
  <w15:docId w15:val="{33C2C756-52C1-44AD-B2EA-212357C15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37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Linyi</dc:creator>
  <cp:keywords/>
  <dc:description/>
  <cp:lastModifiedBy>Zhang Linyi</cp:lastModifiedBy>
  <cp:revision>1</cp:revision>
  <dcterms:created xsi:type="dcterms:W3CDTF">2022-04-24T17:16:00Z</dcterms:created>
  <dcterms:modified xsi:type="dcterms:W3CDTF">2022-04-24T17:16:00Z</dcterms:modified>
</cp:coreProperties>
</file>