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2A096DE" w14:textId="60675562" w:rsidR="002E438A" w:rsidRPr="00E92A67" w:rsidRDefault="002E438A" w:rsidP="002E438A">
      <w:pPr>
        <w:rPr>
          <w:rFonts w:ascii="Times New Roman" w:hAnsi="Times New Roman" w:cs="Times New Roman"/>
          <w:b/>
          <w:bCs/>
          <w:sz w:val="24"/>
          <w:szCs w:val="24"/>
        </w:rPr>
      </w:pPr>
      <w:r w:rsidRPr="00E92A67">
        <w:rPr>
          <w:rFonts w:ascii="Times New Roman" w:hAnsi="Times New Roman" w:cs="Times New Roman"/>
          <w:b/>
          <w:bCs/>
          <w:sz w:val="24"/>
          <w:szCs w:val="24"/>
        </w:rPr>
        <w:t>Supplementary figures</w:t>
      </w:r>
      <w:r w:rsidR="00642D73">
        <w:rPr>
          <w:rFonts w:ascii="Times New Roman" w:hAnsi="Times New Roman" w:cs="Times New Roman"/>
          <w:b/>
          <w:bCs/>
          <w:sz w:val="24"/>
          <w:szCs w:val="24"/>
        </w:rPr>
        <w:t xml:space="preserve"> </w:t>
      </w:r>
      <w:r w:rsidR="00642D73" w:rsidRPr="00642D73">
        <w:rPr>
          <w:rFonts w:ascii="Times New Roman" w:hAnsi="Times New Roman" w:cs="Times New Roman"/>
          <w:b/>
          <w:bCs/>
          <w:sz w:val="24"/>
          <w:szCs w:val="24"/>
        </w:rPr>
        <w:t>legends</w:t>
      </w:r>
    </w:p>
    <w:p w14:paraId="65C87FB7" w14:textId="77777777" w:rsidR="002E438A" w:rsidRPr="00E92A67" w:rsidRDefault="002E438A" w:rsidP="002E438A">
      <w:pPr>
        <w:rPr>
          <w:rFonts w:ascii="Times New Roman" w:hAnsi="Times New Roman" w:cs="Times New Roman"/>
          <w:b/>
          <w:bCs/>
          <w:sz w:val="24"/>
          <w:szCs w:val="24"/>
        </w:rPr>
      </w:pPr>
      <w:r w:rsidRPr="00E92A67">
        <w:rPr>
          <w:rFonts w:ascii="Times New Roman" w:hAnsi="Times New Roman" w:cs="Times New Roman"/>
          <w:b/>
          <w:bCs/>
          <w:sz w:val="24"/>
          <w:szCs w:val="24"/>
        </w:rPr>
        <w:t>Fig.S1 Workflow chart for data collection and analysis.</w:t>
      </w:r>
      <w:r w:rsidRPr="00E92A67">
        <w:rPr>
          <w:rFonts w:ascii="Times New Roman" w:hAnsi="Times New Roman" w:cs="Times New Roman"/>
          <w:szCs w:val="21"/>
        </w:rPr>
        <w:t xml:space="preserve"> BRCA,</w:t>
      </w:r>
      <w:r w:rsidRPr="00E92A67">
        <w:rPr>
          <w:rFonts w:ascii="Times New Roman" w:hAnsi="Times New Roman" w:cs="Times New Roman"/>
        </w:rPr>
        <w:t xml:space="preserve"> breast cancer</w:t>
      </w:r>
      <w:r w:rsidRPr="00E92A67">
        <w:rPr>
          <w:rFonts w:ascii="Times New Roman" w:hAnsi="Times New Roman" w:cs="Times New Roman"/>
          <w:szCs w:val="21"/>
        </w:rPr>
        <w:t xml:space="preserve">; </w:t>
      </w:r>
      <w:bookmarkStart w:id="0" w:name="_Hlk68200843"/>
      <w:r w:rsidRPr="00E92A67">
        <w:rPr>
          <w:rFonts w:ascii="Times New Roman" w:hAnsi="Times New Roman" w:cs="Times New Roman"/>
          <w:szCs w:val="21"/>
        </w:rPr>
        <w:t>IRGs, immune-relevant genes; IRGPs, immune-relevant gene pairs</w:t>
      </w:r>
      <w:bookmarkEnd w:id="0"/>
      <w:r w:rsidRPr="00E92A67">
        <w:rPr>
          <w:rFonts w:ascii="Times New Roman" w:hAnsi="Times New Roman" w:cs="Times New Roman"/>
          <w:szCs w:val="21"/>
        </w:rPr>
        <w:t>; ROC, receiver operating characteristic; KM, Kaplan-Meier.</w:t>
      </w:r>
    </w:p>
    <w:p w14:paraId="57D86ABF" w14:textId="77777777" w:rsidR="002E438A" w:rsidRPr="00E92A67" w:rsidRDefault="002E438A" w:rsidP="002E438A">
      <w:pPr>
        <w:rPr>
          <w:rFonts w:ascii="Times New Roman" w:hAnsi="Times New Roman" w:cs="Times New Roman"/>
          <w:b/>
          <w:bCs/>
          <w:sz w:val="24"/>
          <w:szCs w:val="24"/>
        </w:rPr>
      </w:pPr>
    </w:p>
    <w:p w14:paraId="2483F502" w14:textId="5B2A55AE" w:rsidR="002E438A" w:rsidRPr="00E92A67" w:rsidRDefault="002E438A" w:rsidP="002E438A">
      <w:pPr>
        <w:rPr>
          <w:rFonts w:ascii="Times New Roman" w:hAnsi="Times New Roman" w:cs="Times New Roman"/>
          <w:b/>
          <w:bCs/>
          <w:sz w:val="24"/>
          <w:szCs w:val="24"/>
        </w:rPr>
      </w:pPr>
      <w:bookmarkStart w:id="1" w:name="_Hlk68200532"/>
      <w:r w:rsidRPr="00E92A67">
        <w:rPr>
          <w:rFonts w:ascii="Times New Roman" w:hAnsi="Times New Roman" w:cs="Times New Roman"/>
          <w:b/>
          <w:bCs/>
          <w:sz w:val="24"/>
          <w:szCs w:val="24"/>
        </w:rPr>
        <w:t>Fig.S</w:t>
      </w:r>
      <w:bookmarkEnd w:id="1"/>
      <w:r w:rsidRPr="00E92A67">
        <w:rPr>
          <w:rFonts w:ascii="Times New Roman" w:hAnsi="Times New Roman" w:cs="Times New Roman"/>
          <w:b/>
          <w:bCs/>
          <w:sz w:val="24"/>
          <w:szCs w:val="24"/>
        </w:rPr>
        <w:t xml:space="preserve">2 </w:t>
      </w:r>
      <w:r w:rsidRPr="00E92A67">
        <w:rPr>
          <w:rFonts w:ascii="Times New Roman" w:hAnsi="Times New Roman" w:cs="Times New Roman"/>
          <w:b/>
          <w:bCs/>
          <w:sz w:val="24"/>
        </w:rPr>
        <w:t>Landscape of mutation profiles in low risk BRCA patients.</w:t>
      </w:r>
      <w:r w:rsidRPr="00E92A67">
        <w:rPr>
          <w:rFonts w:ascii="Times New Roman" w:hAnsi="Times New Roman" w:cs="Times New Roman"/>
        </w:rPr>
        <w:t xml:space="preserve"> (A) Waterfall plot of mutation information for each gene in each sample, in which various colors with annotations at the bottom represented the different mutation types. The barplot above the legend exhibited the mutation burden; (B,</w:t>
      </w:r>
      <w:r>
        <w:rPr>
          <w:rFonts w:ascii="Times New Roman" w:hAnsi="Times New Roman" w:cs="Times New Roman"/>
        </w:rPr>
        <w:t xml:space="preserve"> </w:t>
      </w:r>
      <w:r w:rsidRPr="00E92A67">
        <w:rPr>
          <w:rFonts w:ascii="Times New Roman" w:hAnsi="Times New Roman" w:cs="Times New Roman"/>
        </w:rPr>
        <w:t>C,</w:t>
      </w:r>
      <w:r>
        <w:rPr>
          <w:rFonts w:ascii="Times New Roman" w:hAnsi="Times New Roman" w:cs="Times New Roman"/>
        </w:rPr>
        <w:t xml:space="preserve"> </w:t>
      </w:r>
      <w:r w:rsidRPr="00E92A67">
        <w:rPr>
          <w:rFonts w:ascii="Times New Roman" w:hAnsi="Times New Roman" w:cs="Times New Roman"/>
        </w:rPr>
        <w:t>D) Classification of mutation types according to different categories; (E,</w:t>
      </w:r>
      <w:r>
        <w:rPr>
          <w:rFonts w:ascii="Times New Roman" w:hAnsi="Times New Roman" w:cs="Times New Roman"/>
        </w:rPr>
        <w:t xml:space="preserve"> </w:t>
      </w:r>
      <w:r w:rsidRPr="00E92A67">
        <w:rPr>
          <w:rFonts w:ascii="Times New Roman" w:hAnsi="Times New Roman" w:cs="Times New Roman"/>
        </w:rPr>
        <w:t xml:space="preserve">F) Tumor mutation burden in specific samples; (G) The top 10 mutated genes in </w:t>
      </w:r>
      <w:proofErr w:type="gramStart"/>
      <w:r w:rsidRPr="00E92A67">
        <w:rPr>
          <w:rFonts w:ascii="Times New Roman" w:hAnsi="Times New Roman" w:cs="Times New Roman"/>
        </w:rPr>
        <w:t>low</w:t>
      </w:r>
      <w:r>
        <w:rPr>
          <w:rFonts w:ascii="Times New Roman" w:hAnsi="Times New Roman" w:cs="Times New Roman"/>
        </w:rPr>
        <w:t xml:space="preserve"> </w:t>
      </w:r>
      <w:r>
        <w:rPr>
          <w:rFonts w:ascii="Times New Roman" w:hAnsi="Times New Roman" w:cs="Times New Roman" w:hint="eastAsia"/>
        </w:rPr>
        <w:t>risk</w:t>
      </w:r>
      <w:proofErr w:type="gramEnd"/>
      <w:r w:rsidRPr="00E92A67">
        <w:rPr>
          <w:rFonts w:ascii="Times New Roman" w:hAnsi="Times New Roman" w:cs="Times New Roman"/>
        </w:rPr>
        <w:t xml:space="preserve"> breast cancer patients; (H) The boxplot of overall distribution of six different conversions; (I) The stacked barplot of fraction of conversions in each sample; (J) The boxplot of single nucleotide transitions and single nucleotide transversions. </w:t>
      </w:r>
      <w:bookmarkStart w:id="2" w:name="_Hlk64910742"/>
      <w:r w:rsidRPr="00E92A67">
        <w:rPr>
          <w:rFonts w:ascii="Times New Roman" w:hAnsi="Times New Roman" w:cs="Times New Roman"/>
        </w:rPr>
        <w:t>BRCA</w:t>
      </w:r>
      <w:bookmarkEnd w:id="2"/>
      <w:r w:rsidRPr="00E92A67">
        <w:rPr>
          <w:rFonts w:ascii="Times New Roman" w:hAnsi="Times New Roman" w:cs="Times New Roman"/>
        </w:rPr>
        <w:t xml:space="preserve">, breast cancer; SNP, single nucleotide polymorphism; SNV, single nucleotide variants. </w:t>
      </w:r>
    </w:p>
    <w:p w14:paraId="755B1C79" w14:textId="77777777" w:rsidR="002E438A" w:rsidRPr="00E92A67" w:rsidRDefault="002E438A" w:rsidP="002E438A">
      <w:pPr>
        <w:rPr>
          <w:rFonts w:ascii="Times New Roman" w:hAnsi="Times New Roman" w:cs="Times New Roman"/>
        </w:rPr>
      </w:pPr>
    </w:p>
    <w:p w14:paraId="43604A7D" w14:textId="77777777" w:rsidR="002E438A" w:rsidRPr="00E92A67" w:rsidRDefault="002E438A" w:rsidP="002E438A">
      <w:pPr>
        <w:rPr>
          <w:rFonts w:ascii="Times New Roman" w:hAnsi="Times New Roman" w:cs="Times New Roman"/>
        </w:rPr>
      </w:pPr>
      <w:r w:rsidRPr="00E92A67">
        <w:rPr>
          <w:rFonts w:ascii="Times New Roman" w:hAnsi="Times New Roman" w:cs="Times New Roman"/>
          <w:b/>
          <w:bCs/>
          <w:sz w:val="24"/>
          <w:szCs w:val="24"/>
        </w:rPr>
        <w:t xml:space="preserve">Fig.S3 </w:t>
      </w:r>
      <w:r w:rsidRPr="00E92A67">
        <w:rPr>
          <w:rFonts w:ascii="Times New Roman" w:hAnsi="Times New Roman" w:cs="Times New Roman"/>
          <w:b/>
          <w:bCs/>
          <w:sz w:val="24"/>
        </w:rPr>
        <w:t>Establishment of a nomogram predicting OS for BRCA patients in GSE20685 cohort.</w:t>
      </w:r>
      <w:r w:rsidRPr="00E92A67">
        <w:rPr>
          <w:rFonts w:ascii="Times New Roman" w:hAnsi="Times New Roman" w:cs="Times New Roman"/>
        </w:rPr>
        <w:t xml:space="preserve"> (A) Nomograms for predicting the probability of patient mortality based on IRGP prognostic signature and clinical variables; (B-D) Plots depict the calibration of nomograms based on IRGP prognostic signature in terms of agreement between predicted and observed 1-year (B), 3-years (C), and 5-years (D) outcomes. Nomogram performance is shown by the plot, relative to the 45-degree line, which represents the ideal prediction; (E) Decision curve analyses of the nomograms based on IRGP prognostic signature. BRCA, breast cancer; IRGP, immune-relevant gene pair</w:t>
      </w:r>
      <w:r>
        <w:rPr>
          <w:rFonts w:ascii="Times New Roman" w:hAnsi="Times New Roman" w:cs="Times New Roman"/>
        </w:rPr>
        <w:t>.</w:t>
      </w:r>
    </w:p>
    <w:p w14:paraId="62B52199" w14:textId="77777777" w:rsidR="007B0E3C" w:rsidRDefault="007B0E3C" w:rsidP="002E438A"/>
    <w:sectPr w:rsidR="007B0E3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A7B7E5" w14:textId="77777777" w:rsidR="00954E88" w:rsidRDefault="00954E88" w:rsidP="002E438A">
      <w:r>
        <w:separator/>
      </w:r>
    </w:p>
  </w:endnote>
  <w:endnote w:type="continuationSeparator" w:id="0">
    <w:p w14:paraId="07C24A23" w14:textId="77777777" w:rsidR="00954E88" w:rsidRDefault="00954E88" w:rsidP="002E43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E612544" w14:textId="77777777" w:rsidR="00954E88" w:rsidRDefault="00954E88" w:rsidP="002E438A">
      <w:r>
        <w:separator/>
      </w:r>
    </w:p>
  </w:footnote>
  <w:footnote w:type="continuationSeparator" w:id="0">
    <w:p w14:paraId="71D18D56" w14:textId="77777777" w:rsidR="00954E88" w:rsidRDefault="00954E88" w:rsidP="002E438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5830"/>
    <w:rsid w:val="002E438A"/>
    <w:rsid w:val="00642D73"/>
    <w:rsid w:val="007A5830"/>
    <w:rsid w:val="007B0E3C"/>
    <w:rsid w:val="00954E88"/>
    <w:rsid w:val="00AD2B01"/>
    <w:rsid w:val="00F410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E37642"/>
  <w15:chartTrackingRefBased/>
  <w15:docId w15:val="{DF3FC01B-0B23-4428-83E2-132A2F2B8D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A583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E438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E438A"/>
    <w:rPr>
      <w:sz w:val="18"/>
      <w:szCs w:val="18"/>
    </w:rPr>
  </w:style>
  <w:style w:type="paragraph" w:styleId="a5">
    <w:name w:val="footer"/>
    <w:basedOn w:val="a"/>
    <w:link w:val="a6"/>
    <w:uiPriority w:val="99"/>
    <w:unhideWhenUsed/>
    <w:rsid w:val="002E438A"/>
    <w:pPr>
      <w:tabs>
        <w:tab w:val="center" w:pos="4153"/>
        <w:tab w:val="right" w:pos="8306"/>
      </w:tabs>
      <w:snapToGrid w:val="0"/>
      <w:jc w:val="left"/>
    </w:pPr>
    <w:rPr>
      <w:sz w:val="18"/>
      <w:szCs w:val="18"/>
    </w:rPr>
  </w:style>
  <w:style w:type="character" w:customStyle="1" w:styleId="a6">
    <w:name w:val="页脚 字符"/>
    <w:basedOn w:val="a0"/>
    <w:link w:val="a5"/>
    <w:uiPriority w:val="99"/>
    <w:rsid w:val="002E438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251</Words>
  <Characters>1432</Characters>
  <Application>Microsoft Office Word</Application>
  <DocSecurity>0</DocSecurity>
  <Lines>11</Lines>
  <Paragraphs>3</Paragraphs>
  <ScaleCrop>false</ScaleCrop>
  <Company/>
  <LinksUpToDate>false</LinksUpToDate>
  <CharactersWithSpaces>1680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 Linyi</dc:creator>
  <cp:keywords/>
  <dc:description/>
  <cp:lastModifiedBy>Zhang Linyi</cp:lastModifiedBy>
  <cp:revision>4</cp:revision>
  <dcterms:created xsi:type="dcterms:W3CDTF">2021-04-01T09:05:00Z</dcterms:created>
  <dcterms:modified xsi:type="dcterms:W3CDTF">2021-04-02T13:42:00Z</dcterms:modified>
</cp:coreProperties>
</file>