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02D88" w14:textId="65C1E08B" w:rsidR="00E51FD5" w:rsidRDefault="00E51FD5" w:rsidP="00E51FD5">
      <w:pPr>
        <w:pStyle w:val="EndNoteBibliography"/>
        <w:spacing w:line="480" w:lineRule="auto"/>
        <w:ind w:firstLine="480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Supporting files</w:t>
      </w:r>
    </w:p>
    <w:p w14:paraId="096F9CF1" w14:textId="77777777" w:rsidR="00E51FD5" w:rsidRDefault="00E51FD5" w:rsidP="00E51FD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S1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Subgroup associations of NT-proBNP with mortality in hospitalized oldest-old patients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.</w:t>
      </w:r>
    </w:p>
    <w:tbl>
      <w:tblPr>
        <w:tblStyle w:val="TableGrid"/>
        <w:tblW w:w="106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0"/>
        <w:gridCol w:w="1172"/>
        <w:gridCol w:w="2193"/>
        <w:gridCol w:w="2265"/>
        <w:gridCol w:w="2110"/>
      </w:tblGrid>
      <w:tr w:rsidR="00E51FD5" w14:paraId="74FA711C" w14:textId="77777777" w:rsidTr="00EE24E9">
        <w:trPr>
          <w:trHeight w:val="454"/>
          <w:jc w:val="center"/>
        </w:trPr>
        <w:tc>
          <w:tcPr>
            <w:tcW w:w="2930" w:type="dxa"/>
            <w:tcBorders>
              <w:top w:val="single" w:sz="4" w:space="0" w:color="auto"/>
              <w:bottom w:val="single" w:sz="4" w:space="0" w:color="auto"/>
            </w:tcBorders>
          </w:tcPr>
          <w:p w14:paraId="19E477A2" w14:textId="77777777" w:rsidR="00E51FD5" w:rsidRDefault="00E51FD5" w:rsidP="00EE24E9">
            <w:pPr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Subgroup categories</w:t>
            </w:r>
          </w:p>
        </w:tc>
        <w:tc>
          <w:tcPr>
            <w:tcW w:w="1172" w:type="dxa"/>
            <w:tcBorders>
              <w:top w:val="single" w:sz="4" w:space="0" w:color="auto"/>
              <w:bottom w:val="single" w:sz="4" w:space="0" w:color="auto"/>
            </w:tcBorders>
          </w:tcPr>
          <w:p w14:paraId="6CCE5086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</w:t>
            </w:r>
          </w:p>
        </w:tc>
        <w:tc>
          <w:tcPr>
            <w:tcW w:w="2193" w:type="dxa"/>
            <w:tcBorders>
              <w:top w:val="single" w:sz="4" w:space="0" w:color="auto"/>
              <w:bottom w:val="single" w:sz="4" w:space="0" w:color="auto"/>
            </w:tcBorders>
          </w:tcPr>
          <w:p w14:paraId="41F41A3E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of event</w:t>
            </w:r>
            <w:r>
              <w:rPr>
                <w:color w:val="000000"/>
                <w:sz w:val="24"/>
                <w:szCs w:val="24"/>
              </w:rPr>
              <w:t>s (</w:t>
            </w:r>
            <w:r>
              <w:rPr>
                <w:sz w:val="24"/>
                <w:szCs w:val="24"/>
              </w:rPr>
              <w:t>%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  <w:tcBorders>
              <w:top w:val="single" w:sz="4" w:space="0" w:color="auto"/>
              <w:bottom w:val="single" w:sz="4" w:space="0" w:color="auto"/>
            </w:tcBorders>
          </w:tcPr>
          <w:p w14:paraId="4C9F9636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  <w:r>
              <w:rPr>
                <w:color w:val="000000"/>
                <w:sz w:val="24"/>
                <w:szCs w:val="24"/>
              </w:rPr>
              <w:t>R 9</w:t>
            </w:r>
            <w:r>
              <w:rPr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% C</w:t>
            </w:r>
            <w:r>
              <w:rPr>
                <w:sz w:val="24"/>
                <w:szCs w:val="24"/>
              </w:rPr>
              <w:t>I</w:t>
            </w:r>
          </w:p>
        </w:tc>
        <w:tc>
          <w:tcPr>
            <w:tcW w:w="2110" w:type="dxa"/>
            <w:tcBorders>
              <w:top w:val="single" w:sz="4" w:space="0" w:color="auto"/>
              <w:bottom w:val="single" w:sz="4" w:space="0" w:color="auto"/>
            </w:tcBorders>
          </w:tcPr>
          <w:p w14:paraId="21527FB8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P-for-interaction</w:t>
            </w:r>
          </w:p>
        </w:tc>
      </w:tr>
      <w:tr w:rsidR="00E51FD5" w14:paraId="2B23B00E" w14:textId="77777777" w:rsidTr="00EE24E9">
        <w:trPr>
          <w:trHeight w:val="467"/>
          <w:jc w:val="center"/>
        </w:trPr>
        <w:tc>
          <w:tcPr>
            <w:tcW w:w="2930" w:type="dxa"/>
            <w:tcBorders>
              <w:top w:val="single" w:sz="4" w:space="0" w:color="auto"/>
            </w:tcBorders>
          </w:tcPr>
          <w:p w14:paraId="46D23303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</w:t>
            </w: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08FBCD0A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272</w:t>
            </w:r>
          </w:p>
        </w:tc>
        <w:tc>
          <w:tcPr>
            <w:tcW w:w="2193" w:type="dxa"/>
            <w:tcBorders>
              <w:top w:val="single" w:sz="4" w:space="0" w:color="auto"/>
            </w:tcBorders>
          </w:tcPr>
          <w:p w14:paraId="3EF5AF08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color w:val="000000"/>
                <w:sz w:val="24"/>
                <w:szCs w:val="24"/>
              </w:rPr>
              <w:t>4 (</w:t>
            </w:r>
            <w:r>
              <w:rPr>
                <w:sz w:val="24"/>
                <w:szCs w:val="24"/>
              </w:rPr>
              <w:t>45.6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  <w:tcBorders>
              <w:top w:val="single" w:sz="4" w:space="0" w:color="auto"/>
            </w:tcBorders>
          </w:tcPr>
          <w:p w14:paraId="72489ACC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  <w:r>
              <w:rPr>
                <w:color w:val="000000"/>
                <w:sz w:val="24"/>
                <w:szCs w:val="24"/>
              </w:rPr>
              <w:t>7 (</w:t>
            </w:r>
            <w:r>
              <w:rPr>
                <w:sz w:val="24"/>
                <w:szCs w:val="24"/>
              </w:rPr>
              <w:t>1.13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.42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  <w:tcBorders>
              <w:top w:val="single" w:sz="4" w:space="0" w:color="auto"/>
            </w:tcBorders>
          </w:tcPr>
          <w:p w14:paraId="66677C98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0.008</w:t>
            </w:r>
          </w:p>
        </w:tc>
      </w:tr>
      <w:tr w:rsidR="00E51FD5" w14:paraId="76F424E3" w14:textId="77777777" w:rsidTr="00EE24E9">
        <w:trPr>
          <w:trHeight w:val="454"/>
          <w:jc w:val="center"/>
        </w:trPr>
        <w:tc>
          <w:tcPr>
            <w:tcW w:w="2930" w:type="dxa"/>
          </w:tcPr>
          <w:p w14:paraId="1325E4F3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Women</w:t>
            </w:r>
          </w:p>
        </w:tc>
        <w:tc>
          <w:tcPr>
            <w:tcW w:w="1172" w:type="dxa"/>
          </w:tcPr>
          <w:p w14:paraId="2FCD0C47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2193" w:type="dxa"/>
          </w:tcPr>
          <w:p w14:paraId="685CDD00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5 (</w:t>
            </w:r>
            <w:r>
              <w:rPr>
                <w:sz w:val="24"/>
                <w:szCs w:val="24"/>
              </w:rPr>
              <w:t>39.8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</w:tcPr>
          <w:p w14:paraId="4D9747B4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1.2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  <w:r>
              <w:rPr>
                <w:rFonts w:hint="eastAsia"/>
                <w:color w:val="000000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93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</w:tcPr>
          <w:p w14:paraId="3FA6A426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51FD5" w14:paraId="14528DF5" w14:textId="77777777" w:rsidTr="00EE24E9">
        <w:trPr>
          <w:trHeight w:val="454"/>
          <w:jc w:val="center"/>
        </w:trPr>
        <w:tc>
          <w:tcPr>
            <w:tcW w:w="2930" w:type="dxa"/>
          </w:tcPr>
          <w:p w14:paraId="0F380590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eGFR </w:t>
            </w:r>
            <w:r>
              <w:rPr>
                <w:color w:val="000000"/>
                <w:sz w:val="24"/>
                <w:szCs w:val="24"/>
              </w:rPr>
              <w:t>&lt;</w:t>
            </w:r>
            <w:r>
              <w:rPr>
                <w:sz w:val="24"/>
                <w:szCs w:val="24"/>
              </w:rPr>
              <w:t xml:space="preserve"> 60 ml/min/1.7</w:t>
            </w:r>
            <w:r>
              <w:rPr>
                <w:color w:val="000000"/>
                <w:sz w:val="24"/>
                <w:szCs w:val="24"/>
              </w:rPr>
              <w:t>3 m</w:t>
            </w:r>
            <w:r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72" w:type="dxa"/>
          </w:tcPr>
          <w:p w14:paraId="733A2AC5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</w:p>
        </w:tc>
        <w:tc>
          <w:tcPr>
            <w:tcW w:w="2193" w:type="dxa"/>
          </w:tcPr>
          <w:p w14:paraId="1987B005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3 (</w:t>
            </w:r>
            <w:r>
              <w:rPr>
                <w:sz w:val="24"/>
                <w:szCs w:val="24"/>
              </w:rPr>
              <w:t>54.5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</w:tcPr>
          <w:p w14:paraId="05786B63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  <w:r>
              <w:rPr>
                <w:color w:val="000000"/>
                <w:sz w:val="24"/>
                <w:szCs w:val="24"/>
              </w:rPr>
              <w:t>6 (</w:t>
            </w: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11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.4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</w:tcPr>
          <w:p w14:paraId="77BC77F3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0.360</w:t>
            </w:r>
          </w:p>
        </w:tc>
      </w:tr>
      <w:tr w:rsidR="00E51FD5" w14:paraId="1C32B3AB" w14:textId="77777777" w:rsidTr="00EE24E9">
        <w:trPr>
          <w:trHeight w:val="467"/>
          <w:jc w:val="center"/>
        </w:trPr>
        <w:tc>
          <w:tcPr>
            <w:tcW w:w="2930" w:type="dxa"/>
          </w:tcPr>
          <w:p w14:paraId="3E1C9A0A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eGFR </w:t>
            </w:r>
            <w:r>
              <w:rPr>
                <w:color w:val="000000"/>
                <w:sz w:val="24"/>
                <w:szCs w:val="24"/>
              </w:rPr>
              <w:t>&gt;</w:t>
            </w:r>
            <w:r>
              <w:rPr>
                <w:sz w:val="24"/>
                <w:szCs w:val="24"/>
              </w:rPr>
              <w:t>= 60 ml/min/1.7</w:t>
            </w:r>
            <w:r>
              <w:rPr>
                <w:color w:val="000000"/>
                <w:sz w:val="24"/>
                <w:szCs w:val="24"/>
              </w:rPr>
              <w:t>3 m</w:t>
            </w:r>
            <w:r>
              <w:rPr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72" w:type="dxa"/>
          </w:tcPr>
          <w:p w14:paraId="6A4E47A6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226</w:t>
            </w:r>
          </w:p>
        </w:tc>
        <w:tc>
          <w:tcPr>
            <w:tcW w:w="2193" w:type="dxa"/>
          </w:tcPr>
          <w:p w14:paraId="581F9939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6 (</w:t>
            </w:r>
            <w:r>
              <w:rPr>
                <w:sz w:val="24"/>
                <w:szCs w:val="24"/>
              </w:rPr>
              <w:t>38.1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</w:tcPr>
          <w:p w14:paraId="4F460B74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19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59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</w:tcPr>
          <w:p w14:paraId="4D32429F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51FD5" w14:paraId="48015F27" w14:textId="77777777" w:rsidTr="00EE24E9">
        <w:trPr>
          <w:trHeight w:val="454"/>
          <w:jc w:val="center"/>
        </w:trPr>
        <w:tc>
          <w:tcPr>
            <w:tcW w:w="2930" w:type="dxa"/>
          </w:tcPr>
          <w:p w14:paraId="60235BCB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Diabetes mellitus</w:t>
            </w:r>
          </w:p>
        </w:tc>
        <w:tc>
          <w:tcPr>
            <w:tcW w:w="1172" w:type="dxa"/>
          </w:tcPr>
          <w:p w14:paraId="47856F2F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</w:t>
            </w:r>
          </w:p>
        </w:tc>
        <w:tc>
          <w:tcPr>
            <w:tcW w:w="2193" w:type="dxa"/>
          </w:tcPr>
          <w:p w14:paraId="65074240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7 (</w:t>
            </w:r>
            <w:r>
              <w:rPr>
                <w:sz w:val="24"/>
                <w:szCs w:val="24"/>
              </w:rPr>
              <w:t>47.9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</w:tcPr>
          <w:p w14:paraId="62858BD5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1.2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.7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</w:tcPr>
          <w:p w14:paraId="38524A83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0.496</w:t>
            </w:r>
          </w:p>
        </w:tc>
      </w:tr>
      <w:tr w:rsidR="00E51FD5" w14:paraId="10E1CB8B" w14:textId="77777777" w:rsidTr="00EE24E9">
        <w:trPr>
          <w:trHeight w:val="454"/>
          <w:jc w:val="center"/>
        </w:trPr>
        <w:tc>
          <w:tcPr>
            <w:tcW w:w="2930" w:type="dxa"/>
          </w:tcPr>
          <w:p w14:paraId="77AC33A8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Non- diabetes mellitus</w:t>
            </w:r>
          </w:p>
        </w:tc>
        <w:tc>
          <w:tcPr>
            <w:tcW w:w="1172" w:type="dxa"/>
          </w:tcPr>
          <w:p w14:paraId="2446A1BA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241</w:t>
            </w:r>
          </w:p>
        </w:tc>
        <w:tc>
          <w:tcPr>
            <w:tcW w:w="2193" w:type="dxa"/>
          </w:tcPr>
          <w:p w14:paraId="44B7336A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color w:val="000000"/>
                <w:sz w:val="24"/>
                <w:szCs w:val="24"/>
              </w:rPr>
              <w:t>2 (</w:t>
            </w:r>
            <w:r>
              <w:rPr>
                <w:sz w:val="24"/>
                <w:szCs w:val="24"/>
              </w:rPr>
              <w:t>42.3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</w:tcPr>
          <w:p w14:paraId="433C30FD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28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1.1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.4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</w:tcPr>
          <w:p w14:paraId="77303EB0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51FD5" w14:paraId="6FCD4AED" w14:textId="77777777" w:rsidTr="00EE24E9">
        <w:trPr>
          <w:trHeight w:val="467"/>
          <w:jc w:val="center"/>
        </w:trPr>
        <w:tc>
          <w:tcPr>
            <w:tcW w:w="2930" w:type="dxa"/>
          </w:tcPr>
          <w:p w14:paraId="414A52A9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BM</w:t>
            </w:r>
            <w:r>
              <w:rPr>
                <w:color w:val="000000"/>
                <w:sz w:val="24"/>
                <w:szCs w:val="24"/>
              </w:rPr>
              <w:t>I &lt;</w:t>
            </w:r>
            <w:r>
              <w:rPr>
                <w:sz w:val="24"/>
                <w:szCs w:val="24"/>
              </w:rPr>
              <w:t xml:space="preserve"> 20</w:t>
            </w:r>
          </w:p>
        </w:tc>
        <w:tc>
          <w:tcPr>
            <w:tcW w:w="1172" w:type="dxa"/>
          </w:tcPr>
          <w:p w14:paraId="5B51FBF4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2193" w:type="dxa"/>
          </w:tcPr>
          <w:p w14:paraId="733BA252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8 (</w:t>
            </w:r>
            <w:r>
              <w:rPr>
                <w:sz w:val="24"/>
                <w:szCs w:val="24"/>
              </w:rPr>
              <w:t>56.7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</w:tcPr>
          <w:p w14:paraId="51CF0618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1.0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.5</w:t>
            </w: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</w:tcPr>
          <w:p w14:paraId="0E29AC8D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0.158</w:t>
            </w:r>
          </w:p>
        </w:tc>
      </w:tr>
      <w:tr w:rsidR="00E51FD5" w14:paraId="7AD36533" w14:textId="77777777" w:rsidTr="00EE24E9">
        <w:trPr>
          <w:trHeight w:val="467"/>
          <w:jc w:val="center"/>
        </w:trPr>
        <w:tc>
          <w:tcPr>
            <w:tcW w:w="2930" w:type="dxa"/>
          </w:tcPr>
          <w:p w14:paraId="31C05EA9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BM</w:t>
            </w:r>
            <w:r>
              <w:rPr>
                <w:color w:val="000000"/>
                <w:sz w:val="24"/>
                <w:szCs w:val="24"/>
              </w:rPr>
              <w:t>I &gt;= 2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1172" w:type="dxa"/>
          </w:tcPr>
          <w:p w14:paraId="3BFC36E9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293</w:t>
            </w:r>
          </w:p>
        </w:tc>
        <w:tc>
          <w:tcPr>
            <w:tcW w:w="2193" w:type="dxa"/>
          </w:tcPr>
          <w:p w14:paraId="55D3675A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color w:val="000000"/>
                <w:sz w:val="24"/>
                <w:szCs w:val="24"/>
              </w:rPr>
              <w:t>1 (</w:t>
            </w:r>
            <w:r>
              <w:rPr>
                <w:sz w:val="24"/>
                <w:szCs w:val="24"/>
              </w:rPr>
              <w:t>41.3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</w:tcPr>
          <w:p w14:paraId="2A30D850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>
              <w:rPr>
                <w:color w:val="000000"/>
                <w:sz w:val="24"/>
                <w:szCs w:val="24"/>
              </w:rPr>
              <w:t>2 (</w:t>
            </w:r>
            <w:r>
              <w:rPr>
                <w:sz w:val="24"/>
                <w:szCs w:val="24"/>
              </w:rPr>
              <w:t>1.18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.4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</w:tcPr>
          <w:p w14:paraId="2EE74F21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51FD5" w14:paraId="67F1F61F" w14:textId="77777777" w:rsidTr="00EE24E9">
        <w:trPr>
          <w:trHeight w:val="467"/>
          <w:jc w:val="center"/>
        </w:trPr>
        <w:tc>
          <w:tcPr>
            <w:tcW w:w="2930" w:type="dxa"/>
          </w:tcPr>
          <w:p w14:paraId="1ADE48EB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Moderate CHF</w:t>
            </w:r>
          </w:p>
        </w:tc>
        <w:tc>
          <w:tcPr>
            <w:tcW w:w="1172" w:type="dxa"/>
          </w:tcPr>
          <w:p w14:paraId="5CA02EB8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173</w:t>
            </w:r>
          </w:p>
        </w:tc>
        <w:tc>
          <w:tcPr>
            <w:tcW w:w="2193" w:type="dxa"/>
          </w:tcPr>
          <w:p w14:paraId="082D3066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8 (</w:t>
            </w:r>
            <w:r>
              <w:rPr>
                <w:sz w:val="24"/>
                <w:szCs w:val="24"/>
              </w:rPr>
              <w:t>56.6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</w:tcPr>
          <w:p w14:paraId="48A66D94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28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1.1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46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</w:tcPr>
          <w:p w14:paraId="33C6AD45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0.456</w:t>
            </w:r>
          </w:p>
        </w:tc>
      </w:tr>
      <w:tr w:rsidR="00E51FD5" w14:paraId="12A45747" w14:textId="77777777" w:rsidTr="00EE24E9">
        <w:trPr>
          <w:trHeight w:val="467"/>
          <w:jc w:val="center"/>
        </w:trPr>
        <w:tc>
          <w:tcPr>
            <w:tcW w:w="2930" w:type="dxa"/>
          </w:tcPr>
          <w:p w14:paraId="487BFD18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 and mild CHF</w:t>
            </w:r>
          </w:p>
        </w:tc>
        <w:tc>
          <w:tcPr>
            <w:tcW w:w="1172" w:type="dxa"/>
          </w:tcPr>
          <w:p w14:paraId="57A968E5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187</w:t>
            </w:r>
          </w:p>
        </w:tc>
        <w:tc>
          <w:tcPr>
            <w:tcW w:w="2193" w:type="dxa"/>
          </w:tcPr>
          <w:p w14:paraId="1929F79B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>1 (</w:t>
            </w:r>
            <w:r>
              <w:rPr>
                <w:sz w:val="24"/>
                <w:szCs w:val="24"/>
              </w:rPr>
              <w:t>32.6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</w:tcPr>
          <w:p w14:paraId="7A0CA3B0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43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1.1</w:t>
            </w: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72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</w:tcPr>
          <w:p w14:paraId="51F0817C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51FD5" w14:paraId="60C7F8E4" w14:textId="77777777" w:rsidTr="00EE24E9">
        <w:trPr>
          <w:trHeight w:val="467"/>
          <w:jc w:val="center"/>
        </w:trPr>
        <w:tc>
          <w:tcPr>
            <w:tcW w:w="2930" w:type="dxa"/>
            <w:tcBorders>
              <w:bottom w:val="single" w:sz="4" w:space="0" w:color="auto"/>
            </w:tcBorders>
          </w:tcPr>
          <w:p w14:paraId="45B5017B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1172" w:type="dxa"/>
            <w:tcBorders>
              <w:bottom w:val="single" w:sz="4" w:space="0" w:color="auto"/>
            </w:tcBorders>
          </w:tcPr>
          <w:p w14:paraId="4C06987C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360</w:t>
            </w:r>
          </w:p>
        </w:tc>
        <w:tc>
          <w:tcPr>
            <w:tcW w:w="2193" w:type="dxa"/>
            <w:tcBorders>
              <w:bottom w:val="single" w:sz="4" w:space="0" w:color="auto"/>
            </w:tcBorders>
          </w:tcPr>
          <w:p w14:paraId="3414ADDB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>9 (</w:t>
            </w:r>
            <w:r>
              <w:rPr>
                <w:sz w:val="24"/>
                <w:szCs w:val="24"/>
              </w:rPr>
              <w:t>44.1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14:paraId="185E781D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>
              <w:rPr>
                <w:color w:val="000000"/>
                <w:sz w:val="24"/>
                <w:szCs w:val="24"/>
              </w:rPr>
              <w:t>2 (</w:t>
            </w:r>
            <w:r>
              <w:rPr>
                <w:sz w:val="24"/>
                <w:szCs w:val="24"/>
              </w:rPr>
              <w:t>1.20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.46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110" w:type="dxa"/>
            <w:tcBorders>
              <w:bottom w:val="single" w:sz="4" w:space="0" w:color="auto"/>
            </w:tcBorders>
          </w:tcPr>
          <w:p w14:paraId="7B32A3EF" w14:textId="77777777" w:rsidR="00E51FD5" w:rsidRDefault="00E51FD5" w:rsidP="00EE24E9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</w:tc>
      </w:tr>
    </w:tbl>
    <w:p w14:paraId="0FEA2DB3" w14:textId="0ED15DF2" w:rsidR="00E51FD5" w:rsidRDefault="00E51FD5" w:rsidP="00E51FD5">
      <w:pPr>
        <w:pStyle w:val="EndNoteBibliography"/>
        <w:ind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 significant association between NT-proBNP level and mortality was observed in all subgroups. Hazard ratios (HRs; 95% confidence intervals [95% CIs]) were expressed 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as doubling increases in the NT-proBNP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levels. The HRs were adjusted for age, sex,</w:t>
      </w:r>
      <w:r>
        <w:rPr>
          <w:rFonts w:ascii="Times New Roman" w:hAnsi="Times New Roman" w:cs="Times New Roman"/>
          <w:sz w:val="24"/>
          <w:szCs w:val="24"/>
        </w:rPr>
        <w:t xml:space="preserve"> Charlson comorbidity index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geriatric nutritional risk index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and </w:t>
      </w:r>
      <w:r>
        <w:rPr>
          <w:rFonts w:ascii="Times New Roman" w:eastAsia="SimSun" w:hAnsi="Times New Roman" w:cs="Times New Roman"/>
          <w:sz w:val="24"/>
          <w:szCs w:val="24"/>
        </w:rPr>
        <w:t>estimated glomerular filtration rate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. CHF, chronic heart failure; </w:t>
      </w:r>
      <w:r>
        <w:rPr>
          <w:rFonts w:ascii="Times New Roman" w:hAnsi="Times New Roman" w:cs="Times New Roman"/>
          <w:sz w:val="24"/>
          <w:szCs w:val="24"/>
        </w:rPr>
        <w:t>eGFR, estimated glomerular filtration rate.</w:t>
      </w:r>
    </w:p>
    <w:p w14:paraId="3745200E" w14:textId="4711BC1F" w:rsidR="00E51FD5" w:rsidRDefault="00E51FD5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0E6AD0CC" w14:textId="32D8EC4A" w:rsidR="00E51FD5" w:rsidRDefault="00E51FD5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46EDA5FA" w14:textId="26055285" w:rsidR="00E51FD5" w:rsidRDefault="00E51FD5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2B946852" w14:textId="77777777" w:rsidR="00893198" w:rsidRDefault="00893198" w:rsidP="00E51FD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0A260672" w14:textId="77777777" w:rsidR="00893198" w:rsidRDefault="00893198" w:rsidP="00E51FD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7D0732B1" w14:textId="6FD2007A" w:rsidR="00E51FD5" w:rsidRDefault="00E51FD5" w:rsidP="00E51FD5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lastRenderedPageBreak/>
        <w:t>Supplementary Table S2</w:t>
      </w:r>
      <w:r>
        <w:rPr>
          <w:rFonts w:ascii="Times New Roman" w:eastAsia="SimSu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SimSun" w:hAnsi="Times New Roman" w:cs="Times New Roman"/>
          <w:sz w:val="24"/>
          <w:szCs w:val="24"/>
        </w:rPr>
        <w:t xml:space="preserve"> Sensitivity analyses of </w:t>
      </w:r>
      <w:r>
        <w:rPr>
          <w:rFonts w:ascii="Times New Roman" w:hAnsi="Times New Roman" w:cs="Times New Roman"/>
          <w:sz w:val="24"/>
          <w:szCs w:val="24"/>
        </w:rPr>
        <w:t xml:space="preserve">NT-proBNP </w:t>
      </w:r>
      <w:r>
        <w:rPr>
          <w:rFonts w:ascii="Times New Roman" w:eastAsia="DengXian" w:hAnsi="Times New Roman" w:cs="Times New Roman"/>
          <w:sz w:val="24"/>
          <w:szCs w:val="24"/>
        </w:rPr>
        <w:t xml:space="preserve">levels with </w:t>
      </w:r>
      <w:r>
        <w:rPr>
          <w:rFonts w:ascii="Times New Roman" w:hAnsi="Times New Roman" w:cs="Times New Roman"/>
          <w:sz w:val="24"/>
          <w:szCs w:val="24"/>
        </w:rPr>
        <w:t>mortality in hospitalized oldest-old patients</w:t>
      </w:r>
      <w:r>
        <w:rPr>
          <w:rFonts w:ascii="Times New Roman" w:eastAsia="DengXian" w:hAnsi="Times New Roman" w:cs="Times New Roman"/>
          <w:sz w:val="24"/>
          <w:szCs w:val="24"/>
        </w:rPr>
        <w:t>.</w:t>
      </w:r>
    </w:p>
    <w:tbl>
      <w:tblPr>
        <w:tblStyle w:val="TableGrid"/>
        <w:tblW w:w="895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7"/>
        <w:gridCol w:w="2074"/>
        <w:gridCol w:w="2074"/>
        <w:gridCol w:w="2074"/>
      </w:tblGrid>
      <w:tr w:rsidR="00E51FD5" w14:paraId="1729C371" w14:textId="77777777" w:rsidTr="00EE24E9">
        <w:trPr>
          <w:jc w:val="center"/>
        </w:trPr>
        <w:tc>
          <w:tcPr>
            <w:tcW w:w="2737" w:type="dxa"/>
            <w:tcBorders>
              <w:top w:val="single" w:sz="4" w:space="0" w:color="auto"/>
              <w:bottom w:val="single" w:sz="4" w:space="0" w:color="auto"/>
            </w:tcBorders>
          </w:tcPr>
          <w:p w14:paraId="1830A86A" w14:textId="77777777" w:rsidR="00E51FD5" w:rsidRDefault="00E51FD5" w:rsidP="00EE24E9">
            <w:pPr>
              <w:widowControl/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Item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DB9A494" w14:textId="77777777" w:rsidR="00E51FD5" w:rsidRDefault="00E51FD5" w:rsidP="00EE24E9">
            <w:pPr>
              <w:widowControl/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5EB92D6" w14:textId="77777777" w:rsidR="00E51FD5" w:rsidRDefault="00E51FD5" w:rsidP="00EE24E9">
            <w:pPr>
              <w:widowControl/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Event</w:t>
            </w:r>
            <w:r>
              <w:rPr>
                <w:color w:val="000000"/>
                <w:sz w:val="24"/>
                <w:szCs w:val="24"/>
              </w:rPr>
              <w:t>s (</w:t>
            </w:r>
            <w:r>
              <w:rPr>
                <w:sz w:val="24"/>
                <w:szCs w:val="24"/>
              </w:rPr>
              <w:t>%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696D0A1C" w14:textId="77777777" w:rsidR="00E51FD5" w:rsidRDefault="00E51FD5" w:rsidP="00EE24E9">
            <w:pPr>
              <w:widowControl/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H</w:t>
            </w:r>
            <w:r>
              <w:rPr>
                <w:color w:val="000000"/>
                <w:sz w:val="24"/>
                <w:szCs w:val="24"/>
              </w:rPr>
              <w:t>R 9</w:t>
            </w:r>
            <w:r>
              <w:rPr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% C</w:t>
            </w:r>
            <w:r>
              <w:rPr>
                <w:sz w:val="24"/>
                <w:szCs w:val="24"/>
              </w:rPr>
              <w:t>I</w:t>
            </w:r>
          </w:p>
        </w:tc>
      </w:tr>
      <w:tr w:rsidR="00E51FD5" w14:paraId="56050106" w14:textId="77777777" w:rsidTr="00EE24E9">
        <w:trPr>
          <w:jc w:val="center"/>
        </w:trPr>
        <w:tc>
          <w:tcPr>
            <w:tcW w:w="2737" w:type="dxa"/>
            <w:tcBorders>
              <w:top w:val="single" w:sz="4" w:space="0" w:color="auto"/>
            </w:tcBorders>
          </w:tcPr>
          <w:p w14:paraId="383B95C6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Analysis excluding events in first year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60EDB0F5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292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19AA93A7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1 (</w:t>
            </w:r>
            <w:r>
              <w:rPr>
                <w:sz w:val="24"/>
                <w:szCs w:val="24"/>
              </w:rPr>
              <w:t>31.2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3FEF2FAE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  <w:r>
              <w:rPr>
                <w:color w:val="000000"/>
                <w:sz w:val="24"/>
                <w:szCs w:val="24"/>
              </w:rPr>
              <w:t>0 (</w:t>
            </w:r>
            <w:r>
              <w:rPr>
                <w:sz w:val="24"/>
                <w:szCs w:val="24"/>
              </w:rPr>
              <w:t>1.22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.61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</w:tr>
      <w:tr w:rsidR="00E51FD5" w14:paraId="2F10D2B2" w14:textId="77777777" w:rsidTr="00EE24E9">
        <w:trPr>
          <w:jc w:val="center"/>
        </w:trPr>
        <w:tc>
          <w:tcPr>
            <w:tcW w:w="2737" w:type="dxa"/>
          </w:tcPr>
          <w:p w14:paraId="190522B7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Analysis excluding events in first two years</w:t>
            </w:r>
          </w:p>
        </w:tc>
        <w:tc>
          <w:tcPr>
            <w:tcW w:w="2074" w:type="dxa"/>
          </w:tcPr>
          <w:p w14:paraId="751190A8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259</w:t>
            </w:r>
          </w:p>
        </w:tc>
        <w:tc>
          <w:tcPr>
            <w:tcW w:w="2074" w:type="dxa"/>
          </w:tcPr>
          <w:p w14:paraId="3DE7767E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8 (</w:t>
            </w:r>
            <w:r>
              <w:rPr>
                <w:sz w:val="24"/>
                <w:szCs w:val="24"/>
              </w:rPr>
              <w:t>22.4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074" w:type="dxa"/>
          </w:tcPr>
          <w:p w14:paraId="73B9842E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43</w:t>
            </w:r>
            <w:r>
              <w:rPr>
                <w:color w:val="000000"/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1.2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.7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</w:tr>
      <w:tr w:rsidR="00E51FD5" w14:paraId="2F24EC67" w14:textId="77777777" w:rsidTr="00EE24E9">
        <w:trPr>
          <w:jc w:val="center"/>
        </w:trPr>
        <w:tc>
          <w:tcPr>
            <w:tcW w:w="2737" w:type="dxa"/>
            <w:tcBorders>
              <w:bottom w:val="single" w:sz="4" w:space="0" w:color="auto"/>
            </w:tcBorders>
          </w:tcPr>
          <w:p w14:paraId="336FC56A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Analysis excluding cancer at baseline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14:paraId="61F549AC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14:paraId="1A184758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color w:val="000000"/>
                <w:sz w:val="24"/>
                <w:szCs w:val="24"/>
              </w:rPr>
              <w:t>7 (</w:t>
            </w:r>
            <w:r>
              <w:rPr>
                <w:sz w:val="24"/>
                <w:szCs w:val="24"/>
              </w:rPr>
              <w:t>42.3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14:paraId="3075B81D" w14:textId="77777777" w:rsidR="00E51FD5" w:rsidRDefault="00E51FD5" w:rsidP="00EE24E9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  <w:r>
              <w:rPr>
                <w:color w:val="000000"/>
                <w:sz w:val="24"/>
                <w:szCs w:val="24"/>
              </w:rPr>
              <w:t>3 (</w:t>
            </w: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20</w:t>
            </w:r>
            <w:r>
              <w:rPr>
                <w:color w:val="000000"/>
                <w:sz w:val="24"/>
                <w:szCs w:val="24"/>
              </w:rPr>
              <w:t>, 1</w:t>
            </w:r>
            <w:r>
              <w:rPr>
                <w:sz w:val="24"/>
                <w:szCs w:val="24"/>
              </w:rPr>
              <w:t>.49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</w:tr>
    </w:tbl>
    <w:p w14:paraId="368E0A47" w14:textId="77777777" w:rsidR="00E51FD5" w:rsidRDefault="00E51FD5" w:rsidP="00203CED">
      <w:pPr>
        <w:pStyle w:val="EndNoteBibliography"/>
        <w:rPr>
          <w:rFonts w:ascii="Times New Roman" w:eastAsia="SimSun" w:hAnsi="Times New Roman" w:cs="Times New Roman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kern w:val="0"/>
          <w:sz w:val="24"/>
          <w:szCs w:val="24"/>
        </w:rPr>
        <w:t>Hazard ratios (HRs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; 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95% confidence intervals [95% CIs]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) 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 xml:space="preserve">were expressed as doubling increases in the NT-proBNP levels. 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The HRs were adjusted for age, sex, </w:t>
      </w:r>
      <w:r>
        <w:rPr>
          <w:rFonts w:ascii="Times New Roman" w:hAnsi="Times New Roman" w:cs="Times New Roman"/>
          <w:sz w:val="24"/>
          <w:szCs w:val="24"/>
        </w:rPr>
        <w:t>Charlson comorbidity index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geriatric nutritional risk index</w:t>
      </w: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, and </w:t>
      </w:r>
      <w:r>
        <w:rPr>
          <w:rFonts w:ascii="Times New Roman" w:eastAsia="SimSun" w:hAnsi="Times New Roman" w:cs="Times New Roman"/>
          <w:sz w:val="24"/>
          <w:szCs w:val="24"/>
        </w:rPr>
        <w:t>estimated glomerular filtration rate</w:t>
      </w:r>
      <w:r>
        <w:rPr>
          <w:rFonts w:ascii="Times New Roman" w:eastAsia="SimSun" w:hAnsi="Times New Roman" w:cs="Times New Roman"/>
          <w:kern w:val="0"/>
          <w:sz w:val="24"/>
          <w:szCs w:val="24"/>
        </w:rPr>
        <w:t>.</w:t>
      </w:r>
    </w:p>
    <w:p w14:paraId="353B84F8" w14:textId="7684B7DD" w:rsidR="00E51FD5" w:rsidRDefault="00E51FD5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5C8E8EB2" w14:textId="640534C7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36C6A8A2" w14:textId="7E402FBB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7F7413D0" w14:textId="23290E92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7920C230" w14:textId="78C6B2C1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79C4981C" w14:textId="060C7013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26342CCB" w14:textId="3AA741D0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3D9488C7" w14:textId="06500753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4735A423" w14:textId="6FE6BA43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01849D98" w14:textId="579E906E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7917BF59" w14:textId="1F14BA83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7943ECC2" w14:textId="3DDEBF05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2552F610" w14:textId="0348AEC8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eastAsia="SimSun" w:hAnsi="Times New Roman" w:cs="Times New Roman" w:hint="eastAsia"/>
          <w:noProof/>
          <w:kern w:val="0"/>
          <w:sz w:val="24"/>
          <w:szCs w:val="24"/>
        </w:rPr>
        <w:drawing>
          <wp:inline distT="0" distB="0" distL="114300" distR="114300" wp14:anchorId="5E750340" wp14:editId="4A0AA6A9">
            <wp:extent cx="5273675" cy="3832225"/>
            <wp:effectExtent l="0" t="0" r="3175" b="6350"/>
            <wp:docPr id="3" name="图片 3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19743" w14:textId="77777777" w:rsidR="00203CED" w:rsidRDefault="00203CED" w:rsidP="00203CED">
      <w:pPr>
        <w:ind w:firstLine="482"/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>Figure S1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Restricted Cubic spline analyses show the relationships between NT-proBNP and mortality. Median NT-proBNP (271.3 pg/ml) is the reference standard. The model was adjusted for age, gender, Charlson comorbidity index, geriatric nutritional risk index, and </w:t>
      </w:r>
      <w:r>
        <w:rPr>
          <w:rFonts w:ascii="Times New Roman" w:eastAsia="SimSun" w:hAnsi="Times New Roman" w:cs="Times New Roman"/>
          <w:sz w:val="24"/>
          <w:szCs w:val="24"/>
        </w:rPr>
        <w:t>estimated glomerular filtration rate</w:t>
      </w:r>
      <w:r>
        <w:rPr>
          <w:rFonts w:ascii="Times New Roman" w:hAnsi="Times New Roman" w:cs="Times New Roman"/>
          <w:sz w:val="24"/>
          <w:szCs w:val="24"/>
        </w:rPr>
        <w:t>. Dashed lines indicate 95% confidence intervals.</w:t>
      </w:r>
    </w:p>
    <w:p w14:paraId="1665E907" w14:textId="77777777" w:rsidR="00203CED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49A88E67" w14:textId="77777777" w:rsidR="00203CED" w:rsidRPr="00E51FD5" w:rsidRDefault="00203CED" w:rsidP="00E51FD5">
      <w:pPr>
        <w:autoSpaceDE w:val="0"/>
        <w:autoSpaceDN w:val="0"/>
        <w:adjustRightInd w:val="0"/>
        <w:spacing w:line="480" w:lineRule="auto"/>
        <w:ind w:firstLineChars="200" w:firstLine="480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14:paraId="746DAB68" w14:textId="77777777" w:rsidR="00E51FD5" w:rsidRPr="00E51FD5" w:rsidRDefault="00E51FD5" w:rsidP="00E51FD5">
      <w:pPr>
        <w:autoSpaceDE w:val="0"/>
        <w:autoSpaceDN w:val="0"/>
        <w:adjustRightInd w:val="0"/>
        <w:spacing w:line="480" w:lineRule="auto"/>
        <w:ind w:firstLineChars="200" w:firstLine="420"/>
      </w:pPr>
    </w:p>
    <w:sectPr w:rsidR="00E51FD5" w:rsidRPr="00E51FD5"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F938A0" w14:textId="77777777" w:rsidR="00783040" w:rsidRDefault="00783040" w:rsidP="00C53764">
      <w:pPr>
        <w:ind w:firstLine="482"/>
      </w:pPr>
      <w:r>
        <w:separator/>
      </w:r>
    </w:p>
  </w:endnote>
  <w:endnote w:type="continuationSeparator" w:id="0">
    <w:p w14:paraId="0330CEA5" w14:textId="77777777" w:rsidR="00783040" w:rsidRDefault="00783040" w:rsidP="00C53764">
      <w:pPr>
        <w:ind w:firstLine="48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C5730" w14:textId="77777777" w:rsidR="00783040" w:rsidRDefault="00783040" w:rsidP="00C53764">
      <w:pPr>
        <w:ind w:firstLine="482"/>
      </w:pPr>
      <w:r>
        <w:separator/>
      </w:r>
    </w:p>
  </w:footnote>
  <w:footnote w:type="continuationSeparator" w:id="0">
    <w:p w14:paraId="20371448" w14:textId="77777777" w:rsidR="00783040" w:rsidRDefault="00783040" w:rsidP="00C53764">
      <w:pPr>
        <w:ind w:firstLine="48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urrentStyle" w:val="Journal_of_Nutrition"/>
    <w:docVar w:name="currentStyleCount" w:val="4"/>
  </w:docVars>
  <w:rsids>
    <w:rsidRoot w:val="0091401B"/>
    <w:rsid w:val="00000B30"/>
    <w:rsid w:val="000143F1"/>
    <w:rsid w:val="0003381C"/>
    <w:rsid w:val="00047A80"/>
    <w:rsid w:val="0006250B"/>
    <w:rsid w:val="00070AD9"/>
    <w:rsid w:val="000757F9"/>
    <w:rsid w:val="00097D5E"/>
    <w:rsid w:val="000A443B"/>
    <w:rsid w:val="000C35B1"/>
    <w:rsid w:val="000C3EDA"/>
    <w:rsid w:val="000C458F"/>
    <w:rsid w:val="000D66BE"/>
    <w:rsid w:val="000E07A0"/>
    <w:rsid w:val="0013097B"/>
    <w:rsid w:val="00155588"/>
    <w:rsid w:val="00162C4F"/>
    <w:rsid w:val="00164BC8"/>
    <w:rsid w:val="00193304"/>
    <w:rsid w:val="001E0B8D"/>
    <w:rsid w:val="001E3F34"/>
    <w:rsid w:val="00203CED"/>
    <w:rsid w:val="0020612D"/>
    <w:rsid w:val="002112E3"/>
    <w:rsid w:val="00244006"/>
    <w:rsid w:val="00254F0C"/>
    <w:rsid w:val="002963A0"/>
    <w:rsid w:val="002B1A02"/>
    <w:rsid w:val="00302FE5"/>
    <w:rsid w:val="0031028E"/>
    <w:rsid w:val="003131C9"/>
    <w:rsid w:val="00315FCF"/>
    <w:rsid w:val="00367DD2"/>
    <w:rsid w:val="00387892"/>
    <w:rsid w:val="00393AFE"/>
    <w:rsid w:val="003D592D"/>
    <w:rsid w:val="0043083D"/>
    <w:rsid w:val="00466483"/>
    <w:rsid w:val="004B4277"/>
    <w:rsid w:val="004C0E7D"/>
    <w:rsid w:val="004D0898"/>
    <w:rsid w:val="00513131"/>
    <w:rsid w:val="00527954"/>
    <w:rsid w:val="00545343"/>
    <w:rsid w:val="005538C3"/>
    <w:rsid w:val="005B5572"/>
    <w:rsid w:val="00645E82"/>
    <w:rsid w:val="00654EFC"/>
    <w:rsid w:val="00667B92"/>
    <w:rsid w:val="0068472B"/>
    <w:rsid w:val="00687593"/>
    <w:rsid w:val="006945B0"/>
    <w:rsid w:val="006C5DF9"/>
    <w:rsid w:val="006D4285"/>
    <w:rsid w:val="006E41AD"/>
    <w:rsid w:val="006F2D60"/>
    <w:rsid w:val="0073418A"/>
    <w:rsid w:val="00735D94"/>
    <w:rsid w:val="00740C38"/>
    <w:rsid w:val="00745611"/>
    <w:rsid w:val="00757C3B"/>
    <w:rsid w:val="0077203C"/>
    <w:rsid w:val="00783040"/>
    <w:rsid w:val="0078670F"/>
    <w:rsid w:val="0079050F"/>
    <w:rsid w:val="007A4F46"/>
    <w:rsid w:val="007D78C4"/>
    <w:rsid w:val="00801B6E"/>
    <w:rsid w:val="0080223F"/>
    <w:rsid w:val="0080506B"/>
    <w:rsid w:val="00810AF9"/>
    <w:rsid w:val="0082770C"/>
    <w:rsid w:val="00893198"/>
    <w:rsid w:val="008A75F4"/>
    <w:rsid w:val="008A7C6B"/>
    <w:rsid w:val="008F6694"/>
    <w:rsid w:val="00900F66"/>
    <w:rsid w:val="0090540A"/>
    <w:rsid w:val="009056F5"/>
    <w:rsid w:val="0091401B"/>
    <w:rsid w:val="009432E9"/>
    <w:rsid w:val="0095412B"/>
    <w:rsid w:val="00954FE8"/>
    <w:rsid w:val="0098722C"/>
    <w:rsid w:val="009E1337"/>
    <w:rsid w:val="00A00957"/>
    <w:rsid w:val="00A42726"/>
    <w:rsid w:val="00AB5F9A"/>
    <w:rsid w:val="00AD3EF7"/>
    <w:rsid w:val="00AE38B4"/>
    <w:rsid w:val="00AF76BC"/>
    <w:rsid w:val="00B0778D"/>
    <w:rsid w:val="00B30880"/>
    <w:rsid w:val="00B5045F"/>
    <w:rsid w:val="00BF2E7D"/>
    <w:rsid w:val="00C01123"/>
    <w:rsid w:val="00C04A38"/>
    <w:rsid w:val="00C209F2"/>
    <w:rsid w:val="00C43A68"/>
    <w:rsid w:val="00C4566F"/>
    <w:rsid w:val="00C53764"/>
    <w:rsid w:val="00C716AF"/>
    <w:rsid w:val="00C91790"/>
    <w:rsid w:val="00CA47F2"/>
    <w:rsid w:val="00CF224C"/>
    <w:rsid w:val="00D443E4"/>
    <w:rsid w:val="00D575D5"/>
    <w:rsid w:val="00DA3DE1"/>
    <w:rsid w:val="00DF0B36"/>
    <w:rsid w:val="00E348EE"/>
    <w:rsid w:val="00E51FD5"/>
    <w:rsid w:val="00E71203"/>
    <w:rsid w:val="00EA0BA1"/>
    <w:rsid w:val="00EC28C2"/>
    <w:rsid w:val="00EE3A59"/>
    <w:rsid w:val="00EF1666"/>
    <w:rsid w:val="00F27573"/>
    <w:rsid w:val="00F362A6"/>
    <w:rsid w:val="00F603E7"/>
    <w:rsid w:val="00FD13C5"/>
    <w:rsid w:val="00FE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8DB635"/>
  <w15:chartTrackingRefBased/>
  <w15:docId w15:val="{4A5E8CF2-1B7D-43D8-9BB2-31C36C96E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9140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1A02"/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3764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5376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53764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53764"/>
    <w:rPr>
      <w:sz w:val="18"/>
      <w:szCs w:val="18"/>
    </w:rPr>
  </w:style>
  <w:style w:type="paragraph" w:customStyle="1" w:styleId="EndNoteBibliography">
    <w:name w:val="EndNote Bibliography"/>
    <w:basedOn w:val="Normal"/>
    <w:link w:val="EndNoteBibliography0"/>
    <w:rsid w:val="00E51FD5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E51FD5"/>
    <w:rPr>
      <w:rFonts w:ascii="DengXian" w:eastAsia="DengXian" w:hAnsi="DengXian"/>
      <w:sz w:val="20"/>
    </w:rPr>
  </w:style>
  <w:style w:type="paragraph" w:styleId="Revision">
    <w:name w:val="Revision"/>
    <w:hidden/>
    <w:uiPriority w:val="99"/>
    <w:semiHidden/>
    <w:rsid w:val="00545343"/>
  </w:style>
  <w:style w:type="paragraph" w:styleId="Bibliography">
    <w:name w:val="Bibliography"/>
    <w:basedOn w:val="Normal"/>
    <w:next w:val="Normal"/>
    <w:uiPriority w:val="37"/>
    <w:unhideWhenUsed/>
    <w:rsid w:val="00047A80"/>
    <w:pPr>
      <w:tabs>
        <w:tab w:val="left" w:pos="504"/>
      </w:tabs>
      <w:spacing w:after="240"/>
      <w:ind w:left="504" w:hanging="504"/>
    </w:pPr>
  </w:style>
  <w:style w:type="character" w:styleId="Hyperlink">
    <w:name w:val="Hyperlink"/>
    <w:basedOn w:val="DefaultParagraphFont"/>
    <w:uiPriority w:val="99"/>
    <w:unhideWhenUsed/>
    <w:rsid w:val="000E07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07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钧 陶</dc:creator>
  <cp:keywords/>
  <dc:description/>
  <cp:lastModifiedBy>Trupti Sudge</cp:lastModifiedBy>
  <cp:revision>2</cp:revision>
  <dcterms:created xsi:type="dcterms:W3CDTF">2024-01-17T12:03:00Z</dcterms:created>
  <dcterms:modified xsi:type="dcterms:W3CDTF">2024-01-17T12:03:00Z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id="dlUMS7aU"/&gt;&lt;style id="http://www.zotero.org/styles/bmc-nutrition" hasBibliography="1" bibliographyStyleHasBeenSet="0"/&gt;&lt;prefs&gt;&lt;pref name="fieldType" value="Field"/&gt;&lt;/prefs&gt;&lt;/data&gt;</vt:lpwstr>
  </property>
  <property fmtid="{D5CDD505-2E9C-101B-9397-08002B2CF9AE}" pid="3" name="READPAPER_PREF_1">
    <vt:lpwstr>{"language":"zh-CN","citationStyle":"Journal_of_Nutrition","noteType":2,"citationStyleURL":"https://static.cdn.readpaper.com/aiKnowledge/csl/2023-03-23/7f059297018b4fde8f539f561a1e7b8b/journal-of-nutrition.csl"}</vt:lpwstr>
  </property>
</Properties>
</file>