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37AFD" w14:textId="0BB297F7" w:rsidR="008B58A8" w:rsidRPr="00F5773A" w:rsidRDefault="00931762" w:rsidP="008B58A8">
      <w:pPr>
        <w:rPr>
          <w:rFonts w:ascii="Times New Roman" w:hAnsi="Times New Roman" w:cs="Times New Roman"/>
          <w:szCs w:val="21"/>
        </w:rPr>
      </w:pPr>
      <w:r w:rsidRPr="00931762">
        <w:rPr>
          <w:rFonts w:ascii="Times New Roman" w:hAnsi="Times New Roman" w:cs="Times New Roman"/>
          <w:b/>
          <w:bCs/>
          <w:szCs w:val="21"/>
        </w:rPr>
        <w:t>Supplementary file1</w:t>
      </w:r>
      <w:r w:rsidR="008B58A8" w:rsidRPr="00F5773A">
        <w:rPr>
          <w:rFonts w:ascii="Times New Roman" w:hAnsi="Times New Roman" w:cs="Times New Roman"/>
          <w:szCs w:val="21"/>
        </w:rPr>
        <w:t xml:space="preserve"> Baseline characteristics o</w:t>
      </w:r>
      <w:r w:rsidR="008B58A8" w:rsidRPr="000441D1">
        <w:rPr>
          <w:rFonts w:ascii="Times New Roman" w:hAnsi="Times New Roman" w:cs="Times New Roman"/>
          <w:color w:val="000000" w:themeColor="text1"/>
          <w:szCs w:val="21"/>
        </w:rPr>
        <w:t xml:space="preserve">f patients with </w:t>
      </w:r>
      <w:r w:rsidR="008B58A8">
        <w:rPr>
          <w:rFonts w:ascii="Times New Roman" w:hAnsi="Times New Roman" w:cs="Times New Roman"/>
          <w:color w:val="000000" w:themeColor="text1"/>
          <w:szCs w:val="21"/>
        </w:rPr>
        <w:t>NHL-HLH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4148"/>
      </w:tblGrid>
      <w:tr w:rsidR="008B58A8" w:rsidRPr="00F5773A" w14:paraId="790F1D34" w14:textId="77777777" w:rsidTr="008D1D61">
        <w:tc>
          <w:tcPr>
            <w:tcW w:w="4148" w:type="dxa"/>
            <w:tcBorders>
              <w:bottom w:val="single" w:sz="4" w:space="0" w:color="auto"/>
            </w:tcBorders>
            <w:vAlign w:val="center"/>
          </w:tcPr>
          <w:p w14:paraId="4141FF6C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148" w:type="dxa"/>
            <w:tcBorders>
              <w:bottom w:val="single" w:sz="4" w:space="0" w:color="auto"/>
            </w:tcBorders>
            <w:vAlign w:val="center"/>
          </w:tcPr>
          <w:p w14:paraId="1BF09EF7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Included Cases (</w:t>
            </w:r>
            <w:r w:rsidRPr="00F5773A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 xml:space="preserve">N 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= 153)</w:t>
            </w:r>
          </w:p>
        </w:tc>
      </w:tr>
      <w:tr w:rsidR="008B58A8" w:rsidRPr="00F5773A" w14:paraId="10FEF561" w14:textId="77777777" w:rsidTr="008D1D61">
        <w:tc>
          <w:tcPr>
            <w:tcW w:w="4148" w:type="dxa"/>
            <w:tcBorders>
              <w:top w:val="single" w:sz="4" w:space="0" w:color="auto"/>
              <w:bottom w:val="nil"/>
            </w:tcBorders>
            <w:vAlign w:val="center"/>
          </w:tcPr>
          <w:p w14:paraId="53E04BED" w14:textId="77777777" w:rsidR="008B58A8" w:rsidRPr="00BE2C38" w:rsidRDefault="008B58A8" w:rsidP="008D1D6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2C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Demographic and clinical features</w:t>
            </w:r>
          </w:p>
        </w:tc>
        <w:tc>
          <w:tcPr>
            <w:tcW w:w="4148" w:type="dxa"/>
            <w:tcBorders>
              <w:top w:val="single" w:sz="4" w:space="0" w:color="auto"/>
              <w:bottom w:val="nil"/>
            </w:tcBorders>
            <w:vAlign w:val="center"/>
          </w:tcPr>
          <w:p w14:paraId="5ECD9CA3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B58A8" w:rsidRPr="00F5773A" w14:paraId="3BD2A129" w14:textId="77777777" w:rsidTr="008D1D61">
        <w:tc>
          <w:tcPr>
            <w:tcW w:w="4148" w:type="dxa"/>
            <w:vAlign w:val="center"/>
          </w:tcPr>
          <w:p w14:paraId="20184DC0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Median age (range), years</w:t>
            </w:r>
          </w:p>
        </w:tc>
        <w:tc>
          <w:tcPr>
            <w:tcW w:w="4148" w:type="dxa"/>
            <w:vAlign w:val="center"/>
          </w:tcPr>
          <w:p w14:paraId="5F6B8B7A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441D1">
              <w:rPr>
                <w:rFonts w:ascii="Times New Roman" w:hAnsi="Times New Roman" w:cs="Times New Roman"/>
                <w:sz w:val="18"/>
                <w:szCs w:val="18"/>
              </w:rPr>
              <w:t>54 (41.5-64.5)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8B58A8" w:rsidRPr="00F5773A" w14:paraId="4FFD6966" w14:textId="77777777" w:rsidTr="008D1D61">
        <w:tc>
          <w:tcPr>
            <w:tcW w:w="4148" w:type="dxa"/>
            <w:vAlign w:val="center"/>
          </w:tcPr>
          <w:p w14:paraId="1A7D7392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Age &gt; 60 years</w:t>
            </w:r>
          </w:p>
        </w:tc>
        <w:tc>
          <w:tcPr>
            <w:tcW w:w="4148" w:type="dxa"/>
            <w:vAlign w:val="center"/>
          </w:tcPr>
          <w:p w14:paraId="59C75B10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0CA31541" w14:textId="77777777" w:rsidTr="008D1D61">
        <w:tc>
          <w:tcPr>
            <w:tcW w:w="4148" w:type="dxa"/>
            <w:vAlign w:val="center"/>
          </w:tcPr>
          <w:p w14:paraId="47C1602C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Male</w:t>
            </w:r>
          </w:p>
        </w:tc>
        <w:tc>
          <w:tcPr>
            <w:tcW w:w="4148" w:type="dxa"/>
            <w:vAlign w:val="center"/>
          </w:tcPr>
          <w:p w14:paraId="609343F6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110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602A5DB2" w14:textId="77777777" w:rsidTr="008D1D61">
        <w:tc>
          <w:tcPr>
            <w:tcW w:w="4148" w:type="dxa"/>
            <w:vAlign w:val="center"/>
          </w:tcPr>
          <w:p w14:paraId="67730CC4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Symptoms and signs at presentation </w:t>
            </w:r>
          </w:p>
        </w:tc>
        <w:tc>
          <w:tcPr>
            <w:tcW w:w="4148" w:type="dxa"/>
            <w:vAlign w:val="center"/>
          </w:tcPr>
          <w:p w14:paraId="43BDB736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8B58A8" w:rsidRPr="00F5773A" w14:paraId="327209F1" w14:textId="77777777" w:rsidTr="008D1D61">
        <w:tc>
          <w:tcPr>
            <w:tcW w:w="4148" w:type="dxa"/>
            <w:vAlign w:val="center"/>
          </w:tcPr>
          <w:p w14:paraId="54594FA7" w14:textId="51E072E3" w:rsidR="008B58A8" w:rsidRPr="00780A99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>Fever (T</w:t>
            </w:r>
            <w:r w:rsidR="004301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>≥</w:t>
            </w:r>
            <w:r w:rsidR="0043014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>38.5℃)</w:t>
            </w:r>
          </w:p>
        </w:tc>
        <w:tc>
          <w:tcPr>
            <w:tcW w:w="4148" w:type="dxa"/>
            <w:vAlign w:val="center"/>
          </w:tcPr>
          <w:p w14:paraId="01519948" w14:textId="77777777" w:rsidR="008B58A8" w:rsidRPr="00780A99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>153/153 (100%)</w:t>
            </w:r>
          </w:p>
        </w:tc>
      </w:tr>
      <w:tr w:rsidR="008B58A8" w:rsidRPr="00F5773A" w14:paraId="67A10D6D" w14:textId="77777777" w:rsidTr="008D1D61">
        <w:tc>
          <w:tcPr>
            <w:tcW w:w="4148" w:type="dxa"/>
            <w:vAlign w:val="center"/>
          </w:tcPr>
          <w:p w14:paraId="5BF43186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Splenomegaly</w:t>
            </w:r>
          </w:p>
        </w:tc>
        <w:tc>
          <w:tcPr>
            <w:tcW w:w="4148" w:type="dxa"/>
            <w:vAlign w:val="center"/>
          </w:tcPr>
          <w:p w14:paraId="421CD841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45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(9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03F4B365" w14:textId="77777777" w:rsidTr="008D1D61">
        <w:tc>
          <w:tcPr>
            <w:tcW w:w="4148" w:type="dxa"/>
            <w:vAlign w:val="center"/>
          </w:tcPr>
          <w:p w14:paraId="288D0A4E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0" w:name="OLE_LINK1"/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Bicytopenia or pancytopenia</w:t>
            </w:r>
            <w:bookmarkEnd w:id="0"/>
          </w:p>
        </w:tc>
        <w:tc>
          <w:tcPr>
            <w:tcW w:w="4148" w:type="dxa"/>
            <w:vAlign w:val="center"/>
          </w:tcPr>
          <w:p w14:paraId="45D127E7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232F8668" w14:textId="77777777" w:rsidTr="008D1D61">
        <w:tc>
          <w:tcPr>
            <w:tcW w:w="4148" w:type="dxa"/>
            <w:vAlign w:val="center"/>
          </w:tcPr>
          <w:p w14:paraId="5D92E170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Hypofibrinogenemia</w:t>
            </w:r>
          </w:p>
        </w:tc>
        <w:tc>
          <w:tcPr>
            <w:tcW w:w="4148" w:type="dxa"/>
            <w:vAlign w:val="center"/>
          </w:tcPr>
          <w:p w14:paraId="66DF64EB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84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35BD2F7B" w14:textId="77777777" w:rsidTr="008D1D61">
        <w:tc>
          <w:tcPr>
            <w:tcW w:w="4148" w:type="dxa"/>
            <w:vAlign w:val="center"/>
          </w:tcPr>
          <w:p w14:paraId="714400FF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Hypertriglyceridemia</w:t>
            </w:r>
          </w:p>
        </w:tc>
        <w:tc>
          <w:tcPr>
            <w:tcW w:w="4148" w:type="dxa"/>
            <w:vAlign w:val="center"/>
          </w:tcPr>
          <w:p w14:paraId="58E71FD6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37A64EF2" w14:textId="77777777" w:rsidTr="008D1D61">
        <w:tc>
          <w:tcPr>
            <w:tcW w:w="4148" w:type="dxa"/>
            <w:vAlign w:val="center"/>
          </w:tcPr>
          <w:p w14:paraId="35D35A40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Hemophagocytosis</w:t>
            </w:r>
          </w:p>
        </w:tc>
        <w:tc>
          <w:tcPr>
            <w:tcW w:w="4148" w:type="dxa"/>
            <w:vAlign w:val="center"/>
          </w:tcPr>
          <w:p w14:paraId="083A178E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(8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5587A6A7" w14:textId="77777777" w:rsidTr="008D1D61">
        <w:tc>
          <w:tcPr>
            <w:tcW w:w="4148" w:type="dxa"/>
            <w:vAlign w:val="center"/>
          </w:tcPr>
          <w:p w14:paraId="022F61C6" w14:textId="2C3840CA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Serum ferritin (≥500ug/L)</w:t>
            </w:r>
          </w:p>
        </w:tc>
        <w:tc>
          <w:tcPr>
            <w:tcW w:w="4148" w:type="dxa"/>
            <w:vAlign w:val="center"/>
          </w:tcPr>
          <w:p w14:paraId="6EC6A3D2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98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.7%)</w:t>
            </w:r>
          </w:p>
        </w:tc>
      </w:tr>
      <w:tr w:rsidR="008B58A8" w:rsidRPr="00F5773A" w14:paraId="490C1D91" w14:textId="77777777" w:rsidTr="008D1D61">
        <w:tc>
          <w:tcPr>
            <w:tcW w:w="4148" w:type="dxa"/>
            <w:vAlign w:val="center"/>
          </w:tcPr>
          <w:p w14:paraId="50112CB5" w14:textId="3AA021AA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Serum ferritin (≥10000ug/L)</w:t>
            </w:r>
          </w:p>
        </w:tc>
        <w:tc>
          <w:tcPr>
            <w:tcW w:w="4148" w:type="dxa"/>
            <w:vAlign w:val="center"/>
          </w:tcPr>
          <w:p w14:paraId="3DED0601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8.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703135AD" w14:textId="77777777" w:rsidTr="008D1D61">
        <w:tc>
          <w:tcPr>
            <w:tcW w:w="4148" w:type="dxa"/>
            <w:vAlign w:val="center"/>
          </w:tcPr>
          <w:p w14:paraId="70D72F45" w14:textId="051A4A8C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Soluble IL-2 receptor (≥ 2400ng/L)</w:t>
            </w:r>
          </w:p>
        </w:tc>
        <w:tc>
          <w:tcPr>
            <w:tcW w:w="4148" w:type="dxa"/>
            <w:vAlign w:val="center"/>
          </w:tcPr>
          <w:p w14:paraId="0A3D63FA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52/153 (99.3%)</w:t>
            </w:r>
          </w:p>
        </w:tc>
      </w:tr>
      <w:tr w:rsidR="008B58A8" w:rsidRPr="00F5773A" w14:paraId="6BE538FA" w14:textId="77777777" w:rsidTr="008D1D61">
        <w:tc>
          <w:tcPr>
            <w:tcW w:w="4148" w:type="dxa"/>
            <w:vAlign w:val="center"/>
          </w:tcPr>
          <w:p w14:paraId="2AE50F1B" w14:textId="5CAA8312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Soluble IL-2 receptor (</w:t>
            </w:r>
            <w:r w:rsidRPr="00F5773A">
              <w:rPr>
                <w:rFonts w:ascii="Times New Roman" w:eastAsia="等线" w:hAnsi="Times New Roman" w:cs="Times New Roman"/>
                <w:sz w:val="18"/>
                <w:szCs w:val="18"/>
              </w:rPr>
              <w:t>≥ 20000ng/L)</w:t>
            </w:r>
          </w:p>
        </w:tc>
        <w:tc>
          <w:tcPr>
            <w:tcW w:w="4148" w:type="dxa"/>
            <w:vAlign w:val="center"/>
          </w:tcPr>
          <w:p w14:paraId="30814FF5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32/153 (86.3%)</w:t>
            </w:r>
          </w:p>
        </w:tc>
      </w:tr>
      <w:tr w:rsidR="008B58A8" w:rsidRPr="00F5773A" w14:paraId="3B79C14A" w14:textId="77777777" w:rsidTr="008D1D61">
        <w:tc>
          <w:tcPr>
            <w:tcW w:w="4148" w:type="dxa"/>
            <w:vAlign w:val="center"/>
          </w:tcPr>
          <w:p w14:paraId="53C7B9E4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Hepatomegaly</w:t>
            </w:r>
          </w:p>
        </w:tc>
        <w:tc>
          <w:tcPr>
            <w:tcW w:w="4148" w:type="dxa"/>
            <w:vAlign w:val="center"/>
          </w:tcPr>
          <w:p w14:paraId="30334F66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56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36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2B6E2950" w14:textId="77777777" w:rsidTr="008D1D61">
        <w:tc>
          <w:tcPr>
            <w:tcW w:w="4148" w:type="dxa"/>
            <w:vAlign w:val="center"/>
          </w:tcPr>
          <w:p w14:paraId="48F9076D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Lymphadenopathy</w:t>
            </w:r>
          </w:p>
        </w:tc>
        <w:tc>
          <w:tcPr>
            <w:tcW w:w="4148" w:type="dxa"/>
            <w:vAlign w:val="center"/>
          </w:tcPr>
          <w:p w14:paraId="149ECEBF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5D319122" w14:textId="77777777" w:rsidTr="008D1D61">
        <w:tc>
          <w:tcPr>
            <w:tcW w:w="4148" w:type="dxa"/>
            <w:vAlign w:val="center"/>
          </w:tcPr>
          <w:p w14:paraId="3C33B72E" w14:textId="1BC6399B" w:rsidR="003A4E9C" w:rsidRPr="00BE2C38" w:rsidRDefault="008B58A8" w:rsidP="008D1D61">
            <w:pPr>
              <w:jc w:val="left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E2C38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Diagnosis</w:t>
            </w:r>
          </w:p>
        </w:tc>
        <w:tc>
          <w:tcPr>
            <w:tcW w:w="4148" w:type="dxa"/>
            <w:vAlign w:val="center"/>
          </w:tcPr>
          <w:p w14:paraId="270746BD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3A4E9C" w:rsidRPr="00F5773A" w14:paraId="7CF1BF8F" w14:textId="77777777" w:rsidTr="008D1D61">
        <w:tc>
          <w:tcPr>
            <w:tcW w:w="4148" w:type="dxa"/>
            <w:vAlign w:val="center"/>
          </w:tcPr>
          <w:p w14:paraId="2691DD93" w14:textId="014EAD1F" w:rsidR="003A4E9C" w:rsidRPr="00F5773A" w:rsidRDefault="003A4E9C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cell lymphoma</w:t>
            </w:r>
          </w:p>
        </w:tc>
        <w:tc>
          <w:tcPr>
            <w:tcW w:w="4148" w:type="dxa"/>
            <w:vAlign w:val="center"/>
          </w:tcPr>
          <w:p w14:paraId="44EE16E9" w14:textId="6E3B52C8" w:rsidR="003A4E9C" w:rsidRDefault="0027270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91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/153 (59.5%)</w:t>
            </w:r>
          </w:p>
        </w:tc>
      </w:tr>
      <w:tr w:rsidR="008B58A8" w:rsidRPr="00F5773A" w14:paraId="241616C2" w14:textId="77777777" w:rsidTr="008D1D61">
        <w:tc>
          <w:tcPr>
            <w:tcW w:w="4148" w:type="dxa"/>
            <w:vAlign w:val="center"/>
          </w:tcPr>
          <w:p w14:paraId="5199A256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NK/T cell lymphoma</w:t>
            </w:r>
          </w:p>
        </w:tc>
        <w:tc>
          <w:tcPr>
            <w:tcW w:w="4148" w:type="dxa"/>
            <w:vAlign w:val="center"/>
          </w:tcPr>
          <w:p w14:paraId="0DF5A70B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2.0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3E914B84" w14:textId="77777777" w:rsidTr="008D1D61">
        <w:tc>
          <w:tcPr>
            <w:tcW w:w="4148" w:type="dxa"/>
            <w:vAlign w:val="center"/>
          </w:tcPr>
          <w:p w14:paraId="7E73C812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Peripheral T cell lymphoma, NOS</w:t>
            </w:r>
          </w:p>
        </w:tc>
        <w:tc>
          <w:tcPr>
            <w:tcW w:w="4148" w:type="dxa"/>
            <w:vAlign w:val="center"/>
          </w:tcPr>
          <w:p w14:paraId="3ACF5233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5/1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(3.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8B58A8" w:rsidRPr="00F5773A" w14:paraId="278C3DF4" w14:textId="77777777" w:rsidTr="008D1D61">
        <w:tc>
          <w:tcPr>
            <w:tcW w:w="4148" w:type="dxa"/>
            <w:vAlign w:val="center"/>
          </w:tcPr>
          <w:p w14:paraId="670ACA63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Anaplastic large cell lymphoma</w:t>
            </w:r>
          </w:p>
        </w:tc>
        <w:tc>
          <w:tcPr>
            <w:tcW w:w="4148" w:type="dxa"/>
            <w:vAlign w:val="center"/>
          </w:tcPr>
          <w:p w14:paraId="24032417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1/1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(0.7%)</w:t>
            </w:r>
          </w:p>
        </w:tc>
      </w:tr>
      <w:tr w:rsidR="008B58A8" w:rsidRPr="00F5773A" w14:paraId="050CFFEB" w14:textId="77777777" w:rsidTr="008D1D61">
        <w:tc>
          <w:tcPr>
            <w:tcW w:w="4148" w:type="dxa"/>
            <w:vAlign w:val="center"/>
          </w:tcPr>
          <w:p w14:paraId="4A318AF0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Angioimmunoblastic T cell lymphoma</w:t>
            </w:r>
          </w:p>
        </w:tc>
        <w:tc>
          <w:tcPr>
            <w:tcW w:w="4148" w:type="dxa"/>
            <w:vAlign w:val="center"/>
          </w:tcPr>
          <w:p w14:paraId="69ABF619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3/1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(2.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30A0068B" w14:textId="77777777" w:rsidTr="008D1D61">
        <w:tc>
          <w:tcPr>
            <w:tcW w:w="4148" w:type="dxa"/>
            <w:vAlign w:val="center"/>
          </w:tcPr>
          <w:p w14:paraId="5EC27DE3" w14:textId="466066B3" w:rsidR="008B58A8" w:rsidRPr="00F5773A" w:rsidRDefault="00401743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401743">
              <w:rPr>
                <w:rFonts w:ascii="Times New Roman" w:hAnsi="Times New Roman" w:cs="Times New Roman"/>
                <w:sz w:val="18"/>
                <w:szCs w:val="18"/>
              </w:rPr>
              <w:t>nclassified</w:t>
            </w:r>
          </w:p>
        </w:tc>
        <w:tc>
          <w:tcPr>
            <w:tcW w:w="4148" w:type="dxa"/>
            <w:vAlign w:val="center"/>
          </w:tcPr>
          <w:p w14:paraId="66644B0C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3A4E9C" w:rsidRPr="00F5773A" w14:paraId="4CF6E0D5" w14:textId="77777777" w:rsidTr="008D1D61">
        <w:tc>
          <w:tcPr>
            <w:tcW w:w="4148" w:type="dxa"/>
            <w:vAlign w:val="center"/>
          </w:tcPr>
          <w:p w14:paraId="5CD6A4D3" w14:textId="4B024443" w:rsidR="003A4E9C" w:rsidRPr="00F5773A" w:rsidRDefault="003A4E9C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B cell lymphoma</w:t>
            </w:r>
          </w:p>
        </w:tc>
        <w:tc>
          <w:tcPr>
            <w:tcW w:w="4148" w:type="dxa"/>
            <w:vAlign w:val="center"/>
          </w:tcPr>
          <w:p w14:paraId="317E14F6" w14:textId="44533D04" w:rsidR="003A4E9C" w:rsidRPr="00F5773A" w:rsidRDefault="0027270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62/153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40.5%)</w:t>
            </w:r>
          </w:p>
        </w:tc>
      </w:tr>
      <w:tr w:rsidR="008B58A8" w:rsidRPr="00F5773A" w14:paraId="3D0CF7D4" w14:textId="77777777" w:rsidTr="008D1D61">
        <w:tc>
          <w:tcPr>
            <w:tcW w:w="4148" w:type="dxa"/>
            <w:vAlign w:val="center"/>
          </w:tcPr>
          <w:p w14:paraId="0627CDA7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Diffuse large B cell lymphoma</w:t>
            </w:r>
          </w:p>
        </w:tc>
        <w:tc>
          <w:tcPr>
            <w:tcW w:w="4148" w:type="dxa"/>
            <w:vAlign w:val="center"/>
          </w:tcPr>
          <w:p w14:paraId="40093A43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8B58A8" w:rsidRPr="00F5773A" w14:paraId="003ADEF7" w14:textId="77777777" w:rsidTr="008D1D61">
        <w:tc>
          <w:tcPr>
            <w:tcW w:w="4148" w:type="dxa"/>
            <w:vAlign w:val="center"/>
          </w:tcPr>
          <w:p w14:paraId="358C518A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337A">
              <w:rPr>
                <w:rFonts w:ascii="Times New Roman" w:hAnsi="Times New Roman" w:cs="Times New Roman"/>
                <w:sz w:val="18"/>
                <w:szCs w:val="18"/>
              </w:rPr>
              <w:t>Intravascular large B-cell lymphoma</w:t>
            </w:r>
          </w:p>
        </w:tc>
        <w:tc>
          <w:tcPr>
            <w:tcW w:w="4148" w:type="dxa"/>
            <w:vAlign w:val="center"/>
          </w:tcPr>
          <w:p w14:paraId="6320E695" w14:textId="77777777" w:rsidR="008B58A8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/153 (1.3%)</w:t>
            </w:r>
          </w:p>
        </w:tc>
      </w:tr>
      <w:tr w:rsidR="008B58A8" w:rsidRPr="00F5773A" w14:paraId="467954A8" w14:textId="77777777" w:rsidTr="008D1D61">
        <w:tc>
          <w:tcPr>
            <w:tcW w:w="4148" w:type="dxa"/>
            <w:vAlign w:val="center"/>
          </w:tcPr>
          <w:p w14:paraId="6D884E5E" w14:textId="77777777" w:rsidR="008B58A8" w:rsidRPr="001B6AC2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6AC2">
              <w:rPr>
                <w:rFonts w:ascii="Times New Roman" w:hAnsi="Times New Roman" w:cs="Times New Roman"/>
                <w:sz w:val="18"/>
                <w:szCs w:val="18"/>
              </w:rPr>
              <w:t>Chronic lymphoblastic leukemia</w:t>
            </w:r>
            <w:r w:rsidRPr="001B6AC2">
              <w:rPr>
                <w:rFonts w:ascii="Times New Roman" w:hAnsi="Times New Roman" w:cs="Times New Roman" w:hint="eastAsia"/>
                <w:sz w:val="18"/>
                <w:szCs w:val="18"/>
              </w:rPr>
              <w:t>/</w:t>
            </w:r>
          </w:p>
          <w:p w14:paraId="21336589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1B6AC2">
              <w:rPr>
                <w:rFonts w:ascii="Times New Roman" w:hAnsi="Times New Roman" w:cs="Times New Roman"/>
                <w:sz w:val="18"/>
                <w:szCs w:val="18"/>
              </w:rPr>
              <w:t>small lymphocytic lymphoma</w:t>
            </w:r>
          </w:p>
        </w:tc>
        <w:tc>
          <w:tcPr>
            <w:tcW w:w="4148" w:type="dxa"/>
            <w:vAlign w:val="center"/>
          </w:tcPr>
          <w:p w14:paraId="4BCB0486" w14:textId="23CA27C0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>1/15</w:t>
            </w:r>
            <w:r w:rsidR="00551B17">
              <w:rPr>
                <w:rFonts w:ascii="Times New Roman" w:hAnsi="Times New Roman" w:cs="Times New Roman" w:hint="eastAsia"/>
                <w:sz w:val="18"/>
                <w:szCs w:val="18"/>
              </w:rPr>
              <w:t>3</w:t>
            </w:r>
            <w:r w:rsidRPr="00780A99">
              <w:rPr>
                <w:rFonts w:ascii="Times New Roman" w:hAnsi="Times New Roman" w:cs="Times New Roman"/>
                <w:sz w:val="18"/>
                <w:szCs w:val="18"/>
              </w:rPr>
              <w:t xml:space="preserve"> (0.7%)</w:t>
            </w:r>
          </w:p>
        </w:tc>
      </w:tr>
      <w:tr w:rsidR="008B58A8" w:rsidRPr="00F5773A" w14:paraId="18FD1AB0" w14:textId="77777777" w:rsidTr="008D1D61">
        <w:tc>
          <w:tcPr>
            <w:tcW w:w="4148" w:type="dxa"/>
            <w:vAlign w:val="center"/>
          </w:tcPr>
          <w:p w14:paraId="37B191EA" w14:textId="77777777" w:rsidR="008B58A8" w:rsidRPr="00F5773A" w:rsidRDefault="008B58A8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441D1">
              <w:rPr>
                <w:rFonts w:ascii="Times New Roman" w:hAnsi="Times New Roman" w:cs="Times New Roman"/>
                <w:sz w:val="18"/>
                <w:szCs w:val="18"/>
              </w:rPr>
              <w:t>Burkitt</w:t>
            </w:r>
            <w:r w:rsidRPr="000441D1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 w:rsidRPr="000441D1">
              <w:rPr>
                <w:rFonts w:ascii="Times New Roman" w:hAnsi="Times New Roman" w:cs="Times New Roman"/>
                <w:sz w:val="18"/>
                <w:szCs w:val="18"/>
              </w:rPr>
              <w:t>lymphoma</w:t>
            </w:r>
          </w:p>
        </w:tc>
        <w:tc>
          <w:tcPr>
            <w:tcW w:w="4148" w:type="dxa"/>
            <w:vAlign w:val="center"/>
          </w:tcPr>
          <w:p w14:paraId="32379287" w14:textId="77777777" w:rsidR="008B58A8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1/1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(0.7%)</w:t>
            </w:r>
          </w:p>
        </w:tc>
      </w:tr>
      <w:tr w:rsidR="008B58A8" w:rsidRPr="00F5773A" w14:paraId="66D3DAA8" w14:textId="77777777" w:rsidTr="008D1D61">
        <w:tc>
          <w:tcPr>
            <w:tcW w:w="4148" w:type="dxa"/>
            <w:vAlign w:val="center"/>
          </w:tcPr>
          <w:p w14:paraId="40F59D04" w14:textId="6B48D320" w:rsidR="008B58A8" w:rsidRPr="00F5773A" w:rsidRDefault="00401743" w:rsidP="003A4E9C">
            <w:pPr>
              <w:ind w:firstLineChars="50" w:firstLine="9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bookmarkStart w:id="1" w:name="OLE_LINK2"/>
            <w:r>
              <w:rPr>
                <w:rFonts w:ascii="Times New Roman" w:hAnsi="Times New Roman" w:cs="Times New Roman"/>
                <w:sz w:val="18"/>
                <w:szCs w:val="18"/>
              </w:rPr>
              <w:t>U</w:t>
            </w:r>
            <w:r w:rsidRPr="00401743">
              <w:rPr>
                <w:rFonts w:ascii="Times New Roman" w:hAnsi="Times New Roman" w:cs="Times New Roman"/>
                <w:sz w:val="18"/>
                <w:szCs w:val="18"/>
              </w:rPr>
              <w:t>nclassified</w:t>
            </w:r>
            <w:bookmarkEnd w:id="1"/>
          </w:p>
        </w:tc>
        <w:tc>
          <w:tcPr>
            <w:tcW w:w="4148" w:type="dxa"/>
            <w:vAlign w:val="center"/>
          </w:tcPr>
          <w:p w14:paraId="29957C72" w14:textId="77777777" w:rsidR="008B58A8" w:rsidRPr="00F5773A" w:rsidRDefault="008B58A8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49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/1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53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 xml:space="preserve"> 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32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F5773A">
              <w:rPr>
                <w:rFonts w:ascii="Times New Roman" w:hAnsi="Times New Roman" w:cs="Times New Roman"/>
                <w:sz w:val="18"/>
                <w:szCs w:val="18"/>
              </w:rPr>
              <w:t>%)</w:t>
            </w:r>
          </w:p>
        </w:tc>
      </w:tr>
      <w:tr w:rsidR="00272708" w:rsidRPr="00F5773A" w14:paraId="317325DD" w14:textId="77777777" w:rsidTr="008D1D61">
        <w:tc>
          <w:tcPr>
            <w:tcW w:w="4148" w:type="dxa"/>
            <w:vAlign w:val="center"/>
          </w:tcPr>
          <w:p w14:paraId="2BBFACE7" w14:textId="5D86DCA6" w:rsidR="00272708" w:rsidRDefault="006B182C" w:rsidP="006B18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B182C">
              <w:rPr>
                <w:rFonts w:ascii="Times New Roman" w:hAnsi="Times New Roman" w:cs="Times New Roman"/>
                <w:sz w:val="18"/>
                <w:szCs w:val="18"/>
              </w:rPr>
              <w:t>Stage Ⅲ/Ⅳ</w:t>
            </w:r>
          </w:p>
        </w:tc>
        <w:tc>
          <w:tcPr>
            <w:tcW w:w="4148" w:type="dxa"/>
            <w:vAlign w:val="center"/>
          </w:tcPr>
          <w:p w14:paraId="7358D1BD" w14:textId="77511282" w:rsidR="00272708" w:rsidRDefault="006B182C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140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(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91.5%)</w:t>
            </w:r>
          </w:p>
        </w:tc>
      </w:tr>
      <w:tr w:rsidR="00272708" w:rsidRPr="00F5773A" w14:paraId="544F4DFF" w14:textId="77777777" w:rsidTr="008D1D61">
        <w:tc>
          <w:tcPr>
            <w:tcW w:w="4148" w:type="dxa"/>
            <w:vAlign w:val="center"/>
          </w:tcPr>
          <w:p w14:paraId="37F9A06A" w14:textId="2F03FAB6" w:rsidR="00272708" w:rsidRDefault="006B182C" w:rsidP="006B18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B182C">
              <w:rPr>
                <w:rFonts w:ascii="Times New Roman" w:hAnsi="Times New Roman" w:cs="Times New Roman"/>
                <w:sz w:val="18"/>
                <w:szCs w:val="18"/>
              </w:rPr>
              <w:t>B symptoms</w:t>
            </w:r>
          </w:p>
        </w:tc>
        <w:tc>
          <w:tcPr>
            <w:tcW w:w="4148" w:type="dxa"/>
            <w:vAlign w:val="center"/>
          </w:tcPr>
          <w:p w14:paraId="7E8BCD48" w14:textId="76465AD2" w:rsidR="00272708" w:rsidRDefault="006B182C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42 (92.8%)</w:t>
            </w:r>
          </w:p>
        </w:tc>
      </w:tr>
      <w:tr w:rsidR="00272708" w:rsidRPr="00F5773A" w14:paraId="75CEA18C" w14:textId="77777777" w:rsidTr="008D1D61">
        <w:tc>
          <w:tcPr>
            <w:tcW w:w="4148" w:type="dxa"/>
            <w:vAlign w:val="center"/>
          </w:tcPr>
          <w:p w14:paraId="7FC85314" w14:textId="3C304960" w:rsidR="00272708" w:rsidRDefault="006B182C" w:rsidP="006B182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B182C">
              <w:rPr>
                <w:rFonts w:ascii="Times New Roman" w:hAnsi="Times New Roman" w:cs="Times New Roman"/>
                <w:sz w:val="18"/>
                <w:szCs w:val="18"/>
              </w:rPr>
              <w:t>IPI score</w:t>
            </w:r>
          </w:p>
        </w:tc>
        <w:tc>
          <w:tcPr>
            <w:tcW w:w="4148" w:type="dxa"/>
            <w:vAlign w:val="center"/>
          </w:tcPr>
          <w:p w14:paraId="432822DF" w14:textId="5E81DAE5" w:rsidR="00272708" w:rsidRDefault="006B182C" w:rsidP="008D1D6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B182C">
              <w:rPr>
                <w:rFonts w:ascii="Times New Roman" w:hAnsi="Times New Roman" w:cs="Times New Roman"/>
                <w:sz w:val="18"/>
                <w:szCs w:val="18"/>
              </w:rPr>
              <w:t>3.3 ± 0.7</w:t>
            </w:r>
          </w:p>
        </w:tc>
      </w:tr>
    </w:tbl>
    <w:p w14:paraId="14FD094C" w14:textId="77777777" w:rsidR="00A64162" w:rsidRPr="008B58A8" w:rsidRDefault="00A64162" w:rsidP="00272708"/>
    <w:sectPr w:rsidR="00A64162" w:rsidRPr="008B5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DD1506" w14:textId="77777777" w:rsidR="00234D40" w:rsidRDefault="00234D40" w:rsidP="008B58A8">
      <w:r>
        <w:separator/>
      </w:r>
    </w:p>
  </w:endnote>
  <w:endnote w:type="continuationSeparator" w:id="0">
    <w:p w14:paraId="5B52A921" w14:textId="77777777" w:rsidR="00234D40" w:rsidRDefault="00234D40" w:rsidP="008B58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5C960E" w14:textId="77777777" w:rsidR="00234D40" w:rsidRDefault="00234D40" w:rsidP="008B58A8">
      <w:r>
        <w:separator/>
      </w:r>
    </w:p>
  </w:footnote>
  <w:footnote w:type="continuationSeparator" w:id="0">
    <w:p w14:paraId="19923368" w14:textId="77777777" w:rsidR="00234D40" w:rsidRDefault="00234D40" w:rsidP="008B58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6B3"/>
    <w:rsid w:val="000F0660"/>
    <w:rsid w:val="001A3282"/>
    <w:rsid w:val="00234D40"/>
    <w:rsid w:val="00272708"/>
    <w:rsid w:val="003A4E9C"/>
    <w:rsid w:val="00401743"/>
    <w:rsid w:val="00430143"/>
    <w:rsid w:val="00551B17"/>
    <w:rsid w:val="005906B3"/>
    <w:rsid w:val="006B182C"/>
    <w:rsid w:val="007A7B7F"/>
    <w:rsid w:val="008B58A8"/>
    <w:rsid w:val="00931762"/>
    <w:rsid w:val="009C52D7"/>
    <w:rsid w:val="00A15EC2"/>
    <w:rsid w:val="00A64162"/>
    <w:rsid w:val="00AC7089"/>
    <w:rsid w:val="00D83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E2ED7"/>
  <w15:chartTrackingRefBased/>
  <w15:docId w15:val="{D5D262A4-6C66-467D-8D96-BF57F55AA9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58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58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58A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58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58A8"/>
    <w:rPr>
      <w:sz w:val="18"/>
      <w:szCs w:val="18"/>
    </w:rPr>
  </w:style>
  <w:style w:type="table" w:styleId="a7">
    <w:name w:val="Table Grid"/>
    <w:basedOn w:val="a1"/>
    <w:uiPriority w:val="39"/>
    <w:rsid w:val="008B58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otnotes">
    <w:name w:val="Footnotes"/>
    <w:basedOn w:val="a"/>
    <w:qFormat/>
    <w:rsid w:val="008B58A8"/>
    <w:pPr>
      <w:widowControl/>
      <w:spacing w:before="120" w:line="360" w:lineRule="auto"/>
      <w:ind w:left="482" w:hanging="482"/>
      <w:contextualSpacing/>
      <w:jc w:val="left"/>
    </w:pPr>
    <w:rPr>
      <w:rFonts w:ascii="Times New Roman" w:hAnsi="Times New Roman" w:cs="Times New Roman"/>
      <w:kern w:val="0"/>
      <w:sz w:val="22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C4B6BE-15A7-4300-B98E-A4904C60D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vn4694</dc:creator>
  <cp:keywords/>
  <dc:description/>
  <cp:lastModifiedBy>418842319@qq.com</cp:lastModifiedBy>
  <cp:revision>10</cp:revision>
  <dcterms:created xsi:type="dcterms:W3CDTF">2020-04-23T02:31:00Z</dcterms:created>
  <dcterms:modified xsi:type="dcterms:W3CDTF">2021-04-09T14:11:00Z</dcterms:modified>
</cp:coreProperties>
</file>